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7D493" w14:textId="0E340D7A" w:rsidR="00872EC2" w:rsidRDefault="00000000">
      <w:pPr>
        <w:pStyle w:val="ABUberschrift"/>
      </w:pPr>
      <w:r>
        <w:t xml:space="preserve">„Nudging“ am Arbeitsplatz: </w:t>
      </w:r>
      <w:r w:rsidR="00BD514D">
        <w:br/>
      </w:r>
      <w:r>
        <w:t xml:space="preserve">Warum Gesundheit und Sicherheit </w:t>
      </w:r>
      <w:r w:rsidR="00BD514D">
        <w:br/>
      </w:r>
      <w:r>
        <w:t>auch „Stupser“ brauchen</w:t>
      </w:r>
    </w:p>
    <w:p w14:paraId="7A52CFA9" w14:textId="77777777" w:rsidR="00872EC2" w:rsidRDefault="00000000">
      <w:pPr>
        <w:pStyle w:val="ABUVorspann"/>
      </w:pPr>
      <w:r>
        <w:t>In den meisten Betrieben ist sicheres und gesundes Arbeiten ein wichtiges Thema: Alle Kollegen sind geschult und unterwiesen, es gibt Angebote im Rahmen der betrieblichen Gesundheitsförderung – und trotzdem werden manchmal Sicherheitsregeln übersehen, Pausen ausgelassen oder Gesundheitsangebote immer nur von den gleichen Beschäftigten genutzt. Genau hier setzt ein Ansatz an, der in den letzten Jahren auch im Arbeits- und Gesundheitsschutz immer stärker diskutiert wird: Nudging. Gemeint sind kleine „Stupser“, die die Kollegen unterstützen sollen, sich im Alltag leichter für gesundes und sicheres Verhalten zu entscheiden. Für Sie als Arbeitsschützer und Ihren Arbeitgeber kann das ein guter Ansatz für mehr Sicherheit und Gesundheit im Betrieb sein.</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2732"/>
        <w:gridCol w:w="6340"/>
      </w:tblGrid>
      <w:tr w:rsidR="00872EC2" w:rsidRPr="00BD514D" w14:paraId="4434300B" w14:textId="77777777" w:rsidTr="00BD514D">
        <w:trPr>
          <w:trHeight w:val="395"/>
          <w:tblHeader/>
          <w:jc w:val="center"/>
        </w:trPr>
        <w:tc>
          <w:tcPr>
            <w:tcW w:w="9072" w:type="dxa"/>
            <w:gridSpan w:val="2"/>
            <w:tcBorders>
              <w:top w:val="nil"/>
              <w:left w:val="nil"/>
            </w:tcBorders>
            <w:shd w:val="clear" w:color="auto" w:fill="009FDA"/>
            <w:tcMar>
              <w:top w:w="28" w:type="dxa"/>
              <w:bottom w:w="57" w:type="dxa"/>
            </w:tcMar>
          </w:tcPr>
          <w:p w14:paraId="55F57271" w14:textId="77777777" w:rsidR="00872EC2" w:rsidRPr="00BD514D" w:rsidRDefault="00000000" w:rsidP="00BD514D">
            <w:pPr>
              <w:pStyle w:val="TableParagraph"/>
              <w:spacing w:before="33"/>
              <w:ind w:left="47"/>
              <w:rPr>
                <w:rFonts w:asciiTheme="majorBidi" w:hAnsiTheme="majorBidi" w:cstheme="majorBidi"/>
                <w:b/>
                <w:bCs/>
                <w:color w:val="FFFFFF"/>
              </w:rPr>
            </w:pPr>
            <w:r w:rsidRPr="00BD514D">
              <w:rPr>
                <w:rFonts w:asciiTheme="majorBidi" w:hAnsiTheme="majorBidi" w:cstheme="majorBidi"/>
                <w:b/>
                <w:bCs/>
                <w:color w:val="FFFFFF" w:themeColor="background1"/>
              </w:rPr>
              <w:t>Übersicht: Beispiele für Gesundheits- und Sicherheitsnudges</w:t>
            </w:r>
          </w:p>
        </w:tc>
      </w:tr>
      <w:tr w:rsidR="00BD514D" w:rsidRPr="00BD514D" w14:paraId="7A0B1E0B" w14:textId="77777777" w:rsidTr="00BD514D">
        <w:trPr>
          <w:trHeight w:val="360"/>
          <w:jc w:val="center"/>
        </w:trPr>
        <w:tc>
          <w:tcPr>
            <w:tcW w:w="9072" w:type="dxa"/>
            <w:gridSpan w:val="2"/>
            <w:tcBorders>
              <w:left w:val="nil"/>
            </w:tcBorders>
            <w:shd w:val="clear" w:color="auto" w:fill="2A307C" w:themeFill="accent5" w:themeFillShade="80"/>
            <w:tcMar>
              <w:top w:w="28" w:type="dxa"/>
              <w:left w:w="113" w:type="dxa"/>
              <w:bottom w:w="57" w:type="dxa"/>
              <w:right w:w="113" w:type="dxa"/>
            </w:tcMar>
          </w:tcPr>
          <w:p w14:paraId="2123EB6B" w14:textId="77777777" w:rsidR="00872EC2" w:rsidRPr="00BD514D" w:rsidRDefault="00000000" w:rsidP="00BD514D">
            <w:pPr>
              <w:pStyle w:val="TabelleGrund"/>
              <w:rPr>
                <w:rFonts w:asciiTheme="majorBidi" w:hAnsiTheme="majorBidi" w:cstheme="majorBidi"/>
                <w:color w:val="FFFFFF" w:themeColor="background1"/>
                <w:sz w:val="20"/>
                <w:szCs w:val="20"/>
              </w:rPr>
            </w:pPr>
            <w:r w:rsidRPr="00BD514D">
              <w:rPr>
                <w:rFonts w:asciiTheme="majorBidi" w:hAnsiTheme="majorBidi" w:cstheme="majorBidi"/>
                <w:color w:val="FFFFFF" w:themeColor="background1"/>
                <w:sz w:val="20"/>
                <w:szCs w:val="20"/>
              </w:rPr>
              <w:t>Hier finden Sie weitere Beispiele für Nudges, die Sie in Ihrem Betrieb einsetzen können</w:t>
            </w:r>
          </w:p>
        </w:tc>
      </w:tr>
      <w:tr w:rsidR="00BD514D" w:rsidRPr="00BD514D" w14:paraId="12D893A4" w14:textId="77777777" w:rsidTr="00BD514D">
        <w:trPr>
          <w:trHeight w:val="360"/>
          <w:jc w:val="center"/>
        </w:trPr>
        <w:tc>
          <w:tcPr>
            <w:tcW w:w="2732" w:type="dxa"/>
            <w:tcBorders>
              <w:left w:val="nil"/>
            </w:tcBorders>
            <w:shd w:val="clear" w:color="auto" w:fill="00B0F0"/>
            <w:tcMar>
              <w:top w:w="28" w:type="dxa"/>
              <w:left w:w="113" w:type="dxa"/>
              <w:bottom w:w="57" w:type="dxa"/>
              <w:right w:w="113" w:type="dxa"/>
            </w:tcMar>
          </w:tcPr>
          <w:p w14:paraId="178C725A" w14:textId="77777777" w:rsidR="00872EC2" w:rsidRPr="00BD514D" w:rsidRDefault="00000000" w:rsidP="00BD514D">
            <w:pPr>
              <w:pStyle w:val="TabelleGrund"/>
              <w:rPr>
                <w:rFonts w:asciiTheme="majorBidi" w:hAnsiTheme="majorBidi" w:cstheme="majorBidi"/>
                <w:color w:val="FFFFFF" w:themeColor="background1"/>
                <w:sz w:val="20"/>
                <w:szCs w:val="20"/>
              </w:rPr>
            </w:pPr>
            <w:r w:rsidRPr="00BD514D">
              <w:rPr>
                <w:rFonts w:asciiTheme="majorBidi" w:hAnsiTheme="majorBidi" w:cstheme="majorBidi"/>
                <w:color w:val="FFFFFF" w:themeColor="background1"/>
                <w:sz w:val="20"/>
                <w:szCs w:val="20"/>
              </w:rPr>
              <w:t>Beispiele</w:t>
            </w:r>
          </w:p>
        </w:tc>
        <w:tc>
          <w:tcPr>
            <w:tcW w:w="6340" w:type="dxa"/>
            <w:tcBorders>
              <w:left w:val="nil"/>
            </w:tcBorders>
            <w:shd w:val="clear" w:color="auto" w:fill="00B0F0"/>
            <w:tcMar>
              <w:top w:w="28" w:type="dxa"/>
              <w:left w:w="113" w:type="dxa"/>
              <w:bottom w:w="57" w:type="dxa"/>
              <w:right w:w="113" w:type="dxa"/>
            </w:tcMar>
          </w:tcPr>
          <w:p w14:paraId="020B9ED2" w14:textId="77777777" w:rsidR="00872EC2" w:rsidRPr="00BD514D" w:rsidRDefault="00000000" w:rsidP="00BD514D">
            <w:pPr>
              <w:pStyle w:val="TabelleGrund"/>
              <w:rPr>
                <w:rFonts w:asciiTheme="majorBidi" w:hAnsiTheme="majorBidi" w:cstheme="majorBidi"/>
                <w:color w:val="FFFFFF" w:themeColor="background1"/>
                <w:sz w:val="20"/>
                <w:szCs w:val="20"/>
              </w:rPr>
            </w:pPr>
            <w:r w:rsidRPr="00BD514D">
              <w:rPr>
                <w:rFonts w:asciiTheme="majorBidi" w:hAnsiTheme="majorBidi" w:cstheme="majorBidi"/>
                <w:color w:val="FFFFFF" w:themeColor="background1"/>
                <w:sz w:val="20"/>
                <w:szCs w:val="20"/>
              </w:rPr>
              <w:t>Erklärung</w:t>
            </w:r>
          </w:p>
        </w:tc>
      </w:tr>
      <w:tr w:rsidR="00872EC2" w:rsidRPr="00BD514D" w14:paraId="10BB81CC"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19A4BAA6"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Treppenaufkleber: „Gut fürs Herz“</w:t>
            </w:r>
          </w:p>
        </w:tc>
        <w:tc>
          <w:tcPr>
            <w:tcW w:w="6340" w:type="dxa"/>
            <w:tcBorders>
              <w:left w:val="nil"/>
            </w:tcBorders>
            <w:shd w:val="clear" w:color="auto" w:fill="E0E1E3"/>
            <w:tcMar>
              <w:top w:w="28" w:type="dxa"/>
              <w:left w:w="113" w:type="dxa"/>
              <w:bottom w:w="57" w:type="dxa"/>
              <w:right w:w="113" w:type="dxa"/>
            </w:tcMar>
          </w:tcPr>
          <w:p w14:paraId="5F992208"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Fördern die Motivation, die Treppe zu nutzen, und machen klar, dass mit Bewegung das Herz-Kreislauf-System aktiviert wird.</w:t>
            </w:r>
          </w:p>
        </w:tc>
      </w:tr>
      <w:tr w:rsidR="00872EC2" w:rsidRPr="00BD514D" w14:paraId="5C258E87"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046F3060"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Fußspurenaufkleber zum Treppenhaus</w:t>
            </w:r>
          </w:p>
        </w:tc>
        <w:tc>
          <w:tcPr>
            <w:tcW w:w="6340" w:type="dxa"/>
            <w:tcBorders>
              <w:left w:val="nil"/>
            </w:tcBorders>
            <w:shd w:val="clear" w:color="auto" w:fill="E0E1E3"/>
            <w:tcMar>
              <w:top w:w="28" w:type="dxa"/>
              <w:left w:w="113" w:type="dxa"/>
              <w:bottom w:w="57" w:type="dxa"/>
              <w:right w:w="113" w:type="dxa"/>
            </w:tcMar>
          </w:tcPr>
          <w:p w14:paraId="389F8E5E"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Anstatt eines Plakats am Aufzug helfen auch Fußspuren, die zum Treppenhaus führen.</w:t>
            </w:r>
          </w:p>
        </w:tc>
      </w:tr>
      <w:tr w:rsidR="00872EC2" w:rsidRPr="00BD514D" w14:paraId="371938A8"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27D9BDD7"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Wasserspender und Wasserkannen</w:t>
            </w:r>
          </w:p>
        </w:tc>
        <w:tc>
          <w:tcPr>
            <w:tcW w:w="6340" w:type="dxa"/>
            <w:tcBorders>
              <w:left w:val="nil"/>
            </w:tcBorders>
            <w:shd w:val="clear" w:color="auto" w:fill="E0E1E3"/>
            <w:tcMar>
              <w:top w:w="28" w:type="dxa"/>
              <w:left w:w="113" w:type="dxa"/>
              <w:bottom w:w="57" w:type="dxa"/>
              <w:right w:w="113" w:type="dxa"/>
            </w:tcMar>
          </w:tcPr>
          <w:p w14:paraId="6754B10D"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Sind Wasserflaschen und ein Wasserspender einfach zugänglich, trinken die Kollegen eher Wasser, als sich am Getränkeautomaten ein Süßgetränk auszusuchen.</w:t>
            </w:r>
          </w:p>
        </w:tc>
      </w:tr>
      <w:tr w:rsidR="00872EC2" w:rsidRPr="00BD514D" w14:paraId="30093F90"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5D9F6550"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Aushang: „Wusstest du, dass 85 % die jährliche Vorsorgeuntersuchung nutzen?“ Oder: „Wusstest du, dass 8 von 10 Kollegen ihre PSA regelmäßig tragen?“</w:t>
            </w:r>
          </w:p>
        </w:tc>
        <w:tc>
          <w:tcPr>
            <w:tcW w:w="6340" w:type="dxa"/>
            <w:tcBorders>
              <w:left w:val="nil"/>
            </w:tcBorders>
            <w:shd w:val="clear" w:color="auto" w:fill="E0E1E3"/>
            <w:tcMar>
              <w:top w:w="28" w:type="dxa"/>
              <w:left w:w="113" w:type="dxa"/>
              <w:bottom w:w="57" w:type="dxa"/>
              <w:right w:w="113" w:type="dxa"/>
            </w:tcMar>
          </w:tcPr>
          <w:p w14:paraId="46FE9790"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Anonymisierte Aushänge zu Gesundheits- oder Sicherheitsdaten motivieren die Kollegen, die erwähnten Handlungen auszuführen. Wir Menschen orientieren uns gerne an Mehrheiten.</w:t>
            </w:r>
          </w:p>
        </w:tc>
      </w:tr>
      <w:tr w:rsidR="00872EC2" w:rsidRPr="00BD514D" w14:paraId="007F077D"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6DD83F64"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Werkzeug- und Materialmarkierungen</w:t>
            </w:r>
          </w:p>
        </w:tc>
        <w:tc>
          <w:tcPr>
            <w:tcW w:w="6340" w:type="dxa"/>
            <w:tcBorders>
              <w:left w:val="nil"/>
            </w:tcBorders>
            <w:shd w:val="clear" w:color="auto" w:fill="E0E1E3"/>
            <w:tcMar>
              <w:top w:w="28" w:type="dxa"/>
              <w:left w:w="113" w:type="dxa"/>
              <w:bottom w:w="57" w:type="dxa"/>
              <w:right w:w="113" w:type="dxa"/>
            </w:tcMar>
          </w:tcPr>
          <w:p w14:paraId="1C04D57E"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Aufbewahrungsorte für Werkzeuge werden mit farbigen Markierungen oder festen Umrissen an Werkbänken gekennzeichnet. Fehlt ein Werkzeug, fällt dies sofort auf. Gleichzeitig wird Ordnung gefördert, was Stolper- und Unfallrisiken reduziert.</w:t>
            </w:r>
          </w:p>
        </w:tc>
      </w:tr>
      <w:tr w:rsidR="00872EC2" w:rsidRPr="00BD514D" w14:paraId="765A24FC"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244EE92E"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Erinnerungen alle 90 Min. (z. B. digital oder als Signalton)</w:t>
            </w:r>
          </w:p>
        </w:tc>
        <w:tc>
          <w:tcPr>
            <w:tcW w:w="6340" w:type="dxa"/>
            <w:tcBorders>
              <w:left w:val="nil"/>
            </w:tcBorders>
            <w:shd w:val="clear" w:color="auto" w:fill="E0E1E3"/>
            <w:tcMar>
              <w:top w:w="28" w:type="dxa"/>
              <w:left w:w="113" w:type="dxa"/>
              <w:bottom w:w="57" w:type="dxa"/>
              <w:right w:w="113" w:type="dxa"/>
            </w:tcMar>
          </w:tcPr>
          <w:p w14:paraId="025447FB"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Digitale Hinweise oder akustische Signale erinnern Kollegen daran, kurze Pausen einzulegen. Gerade bei konzentrierten Tätigkeiten können solche Impulse helfen, Übermüdung und Fehlhandlungen zu vermeiden.</w:t>
            </w:r>
          </w:p>
        </w:tc>
      </w:tr>
      <w:tr w:rsidR="00872EC2" w:rsidRPr="00BD514D" w14:paraId="21E7B774"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7B49D3F7"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Einfache Hinweise</w:t>
            </w:r>
          </w:p>
        </w:tc>
        <w:tc>
          <w:tcPr>
            <w:tcW w:w="6340" w:type="dxa"/>
            <w:tcBorders>
              <w:left w:val="nil"/>
            </w:tcBorders>
            <w:shd w:val="clear" w:color="auto" w:fill="E0E1E3"/>
            <w:tcMar>
              <w:top w:w="28" w:type="dxa"/>
              <w:left w:w="113" w:type="dxa"/>
              <w:bottom w:w="57" w:type="dxa"/>
              <w:right w:w="113" w:type="dxa"/>
            </w:tcMar>
          </w:tcPr>
          <w:p w14:paraId="5A559FFE"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Gut platzierte Hinweisschilder oder Bodenmarkierungen am Eingang zu Produktionsbereichen erinnern Beschäftigte daran, ihre persönliche Schutzausrüstung anzulegen. Ein einfacher Hinweis wie „Helm auf? Sicherheit zuerst!“ kann bereits ausreichen, um die Aufmerksamkeit zu erhöhen.</w:t>
            </w:r>
          </w:p>
        </w:tc>
      </w:tr>
      <w:tr w:rsidR="00872EC2" w:rsidRPr="00BD514D" w14:paraId="50FC8126"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5175B15C"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Obstkörbe</w:t>
            </w:r>
          </w:p>
        </w:tc>
        <w:tc>
          <w:tcPr>
            <w:tcW w:w="6340" w:type="dxa"/>
            <w:tcBorders>
              <w:left w:val="nil"/>
            </w:tcBorders>
            <w:shd w:val="clear" w:color="auto" w:fill="E0E1E3"/>
            <w:tcMar>
              <w:top w:w="28" w:type="dxa"/>
              <w:left w:w="113" w:type="dxa"/>
              <w:bottom w:w="57" w:type="dxa"/>
              <w:right w:w="113" w:type="dxa"/>
            </w:tcMar>
          </w:tcPr>
          <w:p w14:paraId="2B21F68E"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Auch ein Obstkorb kann ein Nudge sein. Stellt Ihr Arbeitgeber einen Obstkorb zur Verfügung, so wählt ein Kollege eher den Apfel als einen Schokoriegel.</w:t>
            </w:r>
          </w:p>
        </w:tc>
      </w:tr>
      <w:tr w:rsidR="00872EC2" w:rsidRPr="00BD514D" w14:paraId="1D5B1566" w14:textId="77777777" w:rsidTr="00BD514D">
        <w:trPr>
          <w:trHeight w:val="360"/>
          <w:jc w:val="center"/>
        </w:trPr>
        <w:tc>
          <w:tcPr>
            <w:tcW w:w="2732" w:type="dxa"/>
            <w:tcBorders>
              <w:left w:val="nil"/>
            </w:tcBorders>
            <w:shd w:val="clear" w:color="auto" w:fill="E0E1E3"/>
            <w:tcMar>
              <w:top w:w="28" w:type="dxa"/>
              <w:left w:w="113" w:type="dxa"/>
              <w:bottom w:w="57" w:type="dxa"/>
              <w:right w:w="113" w:type="dxa"/>
            </w:tcMar>
          </w:tcPr>
          <w:p w14:paraId="01F3674D" w14:textId="77777777" w:rsidR="00872EC2" w:rsidRPr="00BD514D" w:rsidRDefault="00000000" w:rsidP="00BD514D">
            <w:pPr>
              <w:pStyle w:val="TabelleGrund"/>
              <w:rPr>
                <w:rFonts w:ascii="Arial Narrow" w:hAnsi="Arial Narrow" w:cstheme="majorBidi"/>
                <w:b/>
                <w:bCs/>
              </w:rPr>
            </w:pPr>
            <w:r w:rsidRPr="00BD514D">
              <w:rPr>
                <w:rFonts w:ascii="Arial Narrow" w:hAnsi="Arial Narrow" w:cstheme="majorBidi"/>
                <w:b/>
                <w:bCs/>
              </w:rPr>
              <w:t>Humorvolle Essenshinweise: „Currywurst: 90 km Radtour, Salat: 10 km Radtour – welche Tour spricht dich heute an?“</w:t>
            </w:r>
          </w:p>
        </w:tc>
        <w:tc>
          <w:tcPr>
            <w:tcW w:w="6340" w:type="dxa"/>
            <w:tcBorders>
              <w:left w:val="nil"/>
            </w:tcBorders>
            <w:shd w:val="clear" w:color="auto" w:fill="E0E1E3"/>
            <w:tcMar>
              <w:top w:w="28" w:type="dxa"/>
              <w:left w:w="113" w:type="dxa"/>
              <w:bottom w:w="57" w:type="dxa"/>
              <w:right w:w="113" w:type="dxa"/>
            </w:tcMar>
          </w:tcPr>
          <w:p w14:paraId="71CE95F0" w14:textId="77777777" w:rsidR="00872EC2" w:rsidRPr="00BD514D" w:rsidRDefault="00000000" w:rsidP="00BD514D">
            <w:pPr>
              <w:pStyle w:val="TabelleGrund"/>
              <w:rPr>
                <w:rFonts w:ascii="Arial Narrow" w:hAnsi="Arial Narrow" w:cstheme="majorBidi"/>
              </w:rPr>
            </w:pPr>
            <w:r w:rsidRPr="00BD514D">
              <w:rPr>
                <w:rFonts w:ascii="Arial Narrow" w:hAnsi="Arial Narrow" w:cstheme="majorBidi"/>
              </w:rPr>
              <w:t>Solche Informationen in der Kantine, beispielsweise zum Kalorienumfang und -verbrauch, helfen den Kollegen, sich bewusst zu entscheiden und nicht nur aus Gewohnheit ein Essen zu wählen.</w:t>
            </w:r>
          </w:p>
        </w:tc>
      </w:tr>
    </w:tbl>
    <w:p w14:paraId="4A50A22D" w14:textId="77777777" w:rsidR="00872EC2" w:rsidRDefault="00872EC2"/>
    <w:sectPr w:rsidR="00872EC2"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6D6FD" w14:textId="77777777" w:rsidR="000E0FD6" w:rsidRDefault="000E0FD6" w:rsidP="008B0457">
      <w:pPr>
        <w:spacing w:line="240" w:lineRule="auto"/>
      </w:pPr>
      <w:r>
        <w:separator/>
      </w:r>
    </w:p>
  </w:endnote>
  <w:endnote w:type="continuationSeparator" w:id="0">
    <w:p w14:paraId="04F7C222" w14:textId="77777777" w:rsidR="000E0FD6" w:rsidRDefault="000E0FD6"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altName w:val="Calibri"/>
    <w:panose1 w:val="020B0604020202020204"/>
    <w:charset w:val="00"/>
    <w:family w:val="swiss"/>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C443"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3A99" w14:textId="77777777" w:rsidR="002B1C90" w:rsidRPr="00811147" w:rsidRDefault="00AD2609" w:rsidP="00C67D68">
    <w:pPr>
      <w:pStyle w:val="Fuzeile"/>
      <w:ind w:firstLine="720"/>
      <w:rPr>
        <w:rFonts w:asciiTheme="majorHAnsi" w:hAnsiTheme="majorHAnsi" w:cstheme="majorHAnsi"/>
        <w:noProof/>
        <w:sz w:val="16"/>
        <w:lang w:bidi="de-DE"/>
      </w:rPr>
    </w:pPr>
    <w:r w:rsidRPr="00811147">
      <w:rPr>
        <w:rFonts w:asciiTheme="majorHAnsi" w:hAnsiTheme="majorHAnsi" w:cstheme="majorHAnsi"/>
        <w:noProof/>
        <w:sz w:val="18"/>
      </w:rPr>
      <mc:AlternateContent>
        <mc:Choice Requires="wps">
          <w:drawing>
            <wp:anchor distT="0" distB="0" distL="114300" distR="114300" simplePos="0" relativeHeight="251658240" behindDoc="1" locked="1" layoutInCell="1" allowOverlap="1" wp14:anchorId="53BA4F77" wp14:editId="2D8771CE">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5CD519"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811147">
      <w:rPr>
        <w:rFonts w:asciiTheme="majorHAnsi" w:hAnsiTheme="majorHAnsi" w:cstheme="majorHAnsi"/>
        <w:sz w:val="18"/>
        <w:lang w:bidi="de-DE"/>
      </w:rPr>
      <w:t xml:space="preserve">© </w:t>
    </w:r>
    <w:r w:rsidR="00996B94">
      <w:rPr>
        <w:rFonts w:asciiTheme="majorHAnsi" w:hAnsiTheme="majorHAnsi" w:cstheme="majorHAnsi"/>
        <w:sz w:val="18"/>
        <w:lang w:bidi="de-DE"/>
      </w:rPr>
      <w:t>202</w:t>
    </w:r>
    <w:r w:rsidR="00FA7223">
      <w:rPr>
        <w:rFonts w:asciiTheme="majorHAnsi" w:hAnsiTheme="majorHAnsi" w:cstheme="majorHAnsi"/>
        <w:sz w:val="18"/>
        <w:lang w:bidi="de-DE"/>
      </w:rPr>
      <w:t>6</w:t>
    </w:r>
    <w:r w:rsidR="00C67D68" w:rsidRPr="00811147">
      <w:rPr>
        <w:rFonts w:asciiTheme="majorHAnsi" w:hAnsiTheme="majorHAnsi" w:cstheme="majorHAnsi"/>
        <w:sz w:val="18"/>
        <w:lang w:bidi="de-DE"/>
      </w:rPr>
      <w:t xml:space="preserve"> </w:t>
    </w:r>
    <w:proofErr w:type="spellStart"/>
    <w:r w:rsidR="00C67D68" w:rsidRPr="00811147">
      <w:rPr>
        <w:rFonts w:asciiTheme="majorHAnsi" w:hAnsiTheme="majorHAnsi" w:cstheme="majorHAnsi"/>
        <w:sz w:val="18"/>
        <w:lang w:bidi="de-DE"/>
      </w:rPr>
      <w:t>SafetyXperts,</w:t>
    </w:r>
    <w:r w:rsidR="00996B94">
      <w:rPr>
        <w:rFonts w:asciiTheme="majorHAnsi" w:hAnsiTheme="majorHAnsi" w:cstheme="majorHAnsi"/>
        <w:sz w:val="18"/>
        <w:lang w:bidi="de-DE"/>
      </w:rPr>
      <w:t>Sicherheit</w:t>
    </w:r>
    <w:proofErr w:type="spellEnd"/>
    <w:r w:rsidR="00996B94">
      <w:rPr>
        <w:rFonts w:asciiTheme="majorHAnsi" w:hAnsiTheme="majorHAnsi" w:cstheme="majorHAnsi"/>
        <w:sz w:val="18"/>
        <w:lang w:bidi="de-DE"/>
      </w:rPr>
      <w:t xml:space="preserve"> im Betrieb</w:t>
    </w:r>
    <w:r w:rsidR="004030F1">
      <w:rPr>
        <w:rFonts w:asciiTheme="majorHAnsi" w:hAnsiTheme="majorHAnsi" w:cstheme="majorHAnsi"/>
        <w:sz w:val="18"/>
        <w:lang w:bidi="de-DE"/>
      </w:rPr>
      <w:t xml:space="preserve">, </w:t>
    </w:r>
    <w:r w:rsidR="00E05214">
      <w:rPr>
        <w:rFonts w:asciiTheme="majorHAnsi" w:hAnsiTheme="majorHAnsi" w:cstheme="majorHAnsi"/>
        <w:sz w:val="18"/>
        <w:lang w:bidi="de-DE"/>
      </w:rPr>
      <w:t xml:space="preserve">Brigitte </w:t>
    </w:r>
    <w:proofErr w:type="spellStart"/>
    <w:r w:rsidR="00E05214">
      <w:rPr>
        <w:rFonts w:asciiTheme="majorHAnsi" w:hAnsiTheme="majorHAnsi" w:cstheme="majorHAnsi"/>
        <w:sz w:val="18"/>
        <w:lang w:bidi="de-DE"/>
      </w:rPr>
      <w:t>Ganzmann</w:t>
    </w:r>
    <w:proofErr w:type="spellEnd"/>
    <w:r w:rsidR="00C67D68" w:rsidRPr="00811147">
      <w:rPr>
        <w:rFonts w:asciiTheme="majorHAnsi" w:hAnsiTheme="majorHAnsi" w:cstheme="majorHAnsi"/>
        <w:sz w:val="16"/>
        <w:lang w:bidi="de-DE"/>
      </w:rPr>
      <w:tab/>
    </w:r>
    <w:r w:rsidR="002B1C90" w:rsidRPr="00811147">
      <w:rPr>
        <w:rFonts w:asciiTheme="majorHAnsi" w:hAnsiTheme="majorHAnsi" w:cstheme="majorHAnsi"/>
        <w:sz w:val="16"/>
        <w:lang w:bidi="de-DE"/>
      </w:rPr>
      <w:t xml:space="preserve">Seite </w:t>
    </w:r>
    <w:r w:rsidR="00585E82" w:rsidRPr="00811147">
      <w:rPr>
        <w:rFonts w:asciiTheme="majorHAnsi" w:hAnsiTheme="majorHAnsi" w:cstheme="majorHAnsi"/>
        <w:sz w:val="20"/>
        <w:lang w:bidi="de-DE"/>
      </w:rPr>
      <w:fldChar w:fldCharType="begin"/>
    </w:r>
    <w:r w:rsidR="00585E82" w:rsidRPr="00811147">
      <w:rPr>
        <w:rFonts w:asciiTheme="majorHAnsi" w:hAnsiTheme="majorHAnsi" w:cstheme="majorHAnsi"/>
        <w:sz w:val="20"/>
        <w:lang w:bidi="de-DE"/>
      </w:rPr>
      <w:instrText xml:space="preserve"> PAGE  \* MERGEFORMAT </w:instrText>
    </w:r>
    <w:r w:rsidR="00585E82" w:rsidRPr="00811147">
      <w:rPr>
        <w:rFonts w:asciiTheme="majorHAnsi" w:hAnsiTheme="majorHAnsi" w:cstheme="majorHAnsi"/>
        <w:sz w:val="20"/>
        <w:lang w:bidi="de-DE"/>
      </w:rPr>
      <w:fldChar w:fldCharType="separate"/>
    </w:r>
    <w:r w:rsidR="006C444D" w:rsidRPr="00811147">
      <w:rPr>
        <w:rFonts w:asciiTheme="majorHAnsi" w:hAnsiTheme="majorHAnsi" w:cstheme="majorHAnsi"/>
        <w:noProof/>
        <w:sz w:val="16"/>
        <w:lang w:bidi="de-DE"/>
      </w:rPr>
      <w:t>1</w:t>
    </w:r>
    <w:r w:rsidR="00585E82" w:rsidRPr="00811147">
      <w:rPr>
        <w:rFonts w:asciiTheme="majorHAnsi" w:hAnsiTheme="majorHAnsi" w:cstheme="majorHAnsi"/>
        <w:noProof/>
        <w:sz w:val="16"/>
        <w:lang w:bidi="de-DE"/>
      </w:rPr>
      <w:fldChar w:fldCharType="end"/>
    </w:r>
  </w:p>
  <w:p w14:paraId="7B51C842"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0643"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18331" w14:textId="77777777" w:rsidR="000E0FD6" w:rsidRDefault="000E0FD6" w:rsidP="008B0457">
      <w:pPr>
        <w:spacing w:line="240" w:lineRule="auto"/>
      </w:pPr>
      <w:r>
        <w:separator/>
      </w:r>
    </w:p>
  </w:footnote>
  <w:footnote w:type="continuationSeparator" w:id="0">
    <w:p w14:paraId="0C57D757" w14:textId="77777777" w:rsidR="000E0FD6" w:rsidRDefault="000E0FD6"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4128"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A40B" w14:textId="77777777" w:rsidR="00C67D68" w:rsidRDefault="00721475">
    <w:pPr>
      <w:pStyle w:val="Kopfzeile"/>
    </w:pPr>
    <w:r>
      <w:rPr>
        <w:noProof/>
      </w:rPr>
      <w:drawing>
        <wp:anchor distT="0" distB="0" distL="114300" distR="114300" simplePos="0" relativeHeight="251663360" behindDoc="0" locked="0" layoutInCell="1" allowOverlap="1" wp14:anchorId="60D7B6FE" wp14:editId="4E941B12">
          <wp:simplePos x="0" y="0"/>
          <wp:positionH relativeFrom="margin">
            <wp:posOffset>0</wp:posOffset>
          </wp:positionH>
          <wp:positionV relativeFrom="margin">
            <wp:posOffset>-664210</wp:posOffset>
          </wp:positionV>
          <wp:extent cx="2256155" cy="560070"/>
          <wp:effectExtent l="0" t="0" r="4445" b="0"/>
          <wp:wrapSquare wrapText="bothSides"/>
          <wp:docPr id="866134924" name="Grafik 86613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22DF517D" wp14:editId="6C45FAFB">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45C9"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D40ED8"/>
    <w:multiLevelType w:val="hybridMultilevel"/>
    <w:tmpl w:val="0E645590"/>
    <w:lvl w:ilvl="0" w:tplc="D78A8356">
      <w:start w:val="1"/>
      <w:numFmt w:val="decimal"/>
      <w:pStyle w:val="Grund12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0"/>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9"/>
  </w:num>
  <w:num w:numId="12" w16cid:durableId="926113218">
    <w:abstractNumId w:val="8"/>
  </w:num>
  <w:num w:numId="13" w16cid:durableId="2001228137">
    <w:abstractNumId w:val="3"/>
  </w:num>
  <w:num w:numId="14" w16cid:durableId="410471111">
    <w:abstractNumId w:val="12"/>
  </w:num>
  <w:num w:numId="15" w16cid:durableId="1187869831">
    <w:abstractNumId w:val="4"/>
  </w:num>
  <w:num w:numId="16" w16cid:durableId="242375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34C04"/>
    <w:rsid w:val="000427C0"/>
    <w:rsid w:val="000612AD"/>
    <w:rsid w:val="00063E65"/>
    <w:rsid w:val="000744CA"/>
    <w:rsid w:val="0008600B"/>
    <w:rsid w:val="000A4833"/>
    <w:rsid w:val="000D23DD"/>
    <w:rsid w:val="000D6C3B"/>
    <w:rsid w:val="000E0FD6"/>
    <w:rsid w:val="000E2FF3"/>
    <w:rsid w:val="000F0125"/>
    <w:rsid w:val="000F0773"/>
    <w:rsid w:val="000F487B"/>
    <w:rsid w:val="00103448"/>
    <w:rsid w:val="00116022"/>
    <w:rsid w:val="00130C17"/>
    <w:rsid w:val="00132C3A"/>
    <w:rsid w:val="00137CE5"/>
    <w:rsid w:val="001421CE"/>
    <w:rsid w:val="0014284F"/>
    <w:rsid w:val="00153447"/>
    <w:rsid w:val="00163A43"/>
    <w:rsid w:val="001661DA"/>
    <w:rsid w:val="00181F90"/>
    <w:rsid w:val="00190D2B"/>
    <w:rsid w:val="00194FA3"/>
    <w:rsid w:val="001F0C0B"/>
    <w:rsid w:val="001F4237"/>
    <w:rsid w:val="00215945"/>
    <w:rsid w:val="0024208E"/>
    <w:rsid w:val="002758C5"/>
    <w:rsid w:val="00282CF5"/>
    <w:rsid w:val="00283F0F"/>
    <w:rsid w:val="002A0996"/>
    <w:rsid w:val="002A6988"/>
    <w:rsid w:val="002B1C90"/>
    <w:rsid w:val="002C600E"/>
    <w:rsid w:val="002C71E0"/>
    <w:rsid w:val="002D5565"/>
    <w:rsid w:val="002D7B55"/>
    <w:rsid w:val="002E639A"/>
    <w:rsid w:val="002E6447"/>
    <w:rsid w:val="002F34EA"/>
    <w:rsid w:val="002F5B22"/>
    <w:rsid w:val="00300E6A"/>
    <w:rsid w:val="003250D7"/>
    <w:rsid w:val="00326441"/>
    <w:rsid w:val="00337980"/>
    <w:rsid w:val="00361D4A"/>
    <w:rsid w:val="003732F7"/>
    <w:rsid w:val="003A0D3C"/>
    <w:rsid w:val="003A65AD"/>
    <w:rsid w:val="003A77CE"/>
    <w:rsid w:val="003B65D9"/>
    <w:rsid w:val="003C0924"/>
    <w:rsid w:val="003D54A1"/>
    <w:rsid w:val="003D5E2E"/>
    <w:rsid w:val="003F4E49"/>
    <w:rsid w:val="004030F1"/>
    <w:rsid w:val="0040690E"/>
    <w:rsid w:val="00417F61"/>
    <w:rsid w:val="00432B3D"/>
    <w:rsid w:val="004419C2"/>
    <w:rsid w:val="00464C3E"/>
    <w:rsid w:val="004675B1"/>
    <w:rsid w:val="00475570"/>
    <w:rsid w:val="00482E45"/>
    <w:rsid w:val="00495150"/>
    <w:rsid w:val="004E44CB"/>
    <w:rsid w:val="00514635"/>
    <w:rsid w:val="0054718B"/>
    <w:rsid w:val="00577D2F"/>
    <w:rsid w:val="00585E82"/>
    <w:rsid w:val="005A2D02"/>
    <w:rsid w:val="005A3D3C"/>
    <w:rsid w:val="005A5989"/>
    <w:rsid w:val="005E33F0"/>
    <w:rsid w:val="005E422D"/>
    <w:rsid w:val="005F0E00"/>
    <w:rsid w:val="005F4B7A"/>
    <w:rsid w:val="00602D13"/>
    <w:rsid w:val="00603D60"/>
    <w:rsid w:val="006259A1"/>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C6EAE"/>
    <w:rsid w:val="006E686E"/>
    <w:rsid w:val="006E7207"/>
    <w:rsid w:val="006E7696"/>
    <w:rsid w:val="006F0E71"/>
    <w:rsid w:val="00705CA2"/>
    <w:rsid w:val="00721475"/>
    <w:rsid w:val="00725909"/>
    <w:rsid w:val="00726AC7"/>
    <w:rsid w:val="00731DDF"/>
    <w:rsid w:val="00734E2E"/>
    <w:rsid w:val="00756D7F"/>
    <w:rsid w:val="0076357E"/>
    <w:rsid w:val="007643AB"/>
    <w:rsid w:val="00776B85"/>
    <w:rsid w:val="007C7D7A"/>
    <w:rsid w:val="0081053B"/>
    <w:rsid w:val="00811147"/>
    <w:rsid w:val="00815129"/>
    <w:rsid w:val="00821F37"/>
    <w:rsid w:val="00830B61"/>
    <w:rsid w:val="00872EC2"/>
    <w:rsid w:val="00892E8A"/>
    <w:rsid w:val="00893C02"/>
    <w:rsid w:val="00895DBA"/>
    <w:rsid w:val="0089787D"/>
    <w:rsid w:val="008B0457"/>
    <w:rsid w:val="008B230C"/>
    <w:rsid w:val="008B7478"/>
    <w:rsid w:val="008C18C6"/>
    <w:rsid w:val="008C7275"/>
    <w:rsid w:val="008D5BDB"/>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B04DF0"/>
    <w:rsid w:val="00B11398"/>
    <w:rsid w:val="00B27F29"/>
    <w:rsid w:val="00B55E3C"/>
    <w:rsid w:val="00B708CF"/>
    <w:rsid w:val="00B71D33"/>
    <w:rsid w:val="00B734EF"/>
    <w:rsid w:val="00B7587F"/>
    <w:rsid w:val="00B75C23"/>
    <w:rsid w:val="00B80F1F"/>
    <w:rsid w:val="00B83286"/>
    <w:rsid w:val="00B952CF"/>
    <w:rsid w:val="00BA3629"/>
    <w:rsid w:val="00BB5447"/>
    <w:rsid w:val="00BD1FBA"/>
    <w:rsid w:val="00BD514D"/>
    <w:rsid w:val="00BF20BC"/>
    <w:rsid w:val="00C03E5D"/>
    <w:rsid w:val="00C112E9"/>
    <w:rsid w:val="00C17865"/>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5214"/>
    <w:rsid w:val="00E06D9C"/>
    <w:rsid w:val="00E17578"/>
    <w:rsid w:val="00E42E27"/>
    <w:rsid w:val="00E527E0"/>
    <w:rsid w:val="00E71676"/>
    <w:rsid w:val="00E77CA6"/>
    <w:rsid w:val="00EB4377"/>
    <w:rsid w:val="00EB6006"/>
    <w:rsid w:val="00EC085E"/>
    <w:rsid w:val="00EC0E2A"/>
    <w:rsid w:val="00ED6C76"/>
    <w:rsid w:val="00EE14B4"/>
    <w:rsid w:val="00EF2AF3"/>
    <w:rsid w:val="00EF4B51"/>
    <w:rsid w:val="00F06AF6"/>
    <w:rsid w:val="00F2092D"/>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8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F2092D"/>
    <w:pPr>
      <w:autoSpaceDE w:val="0"/>
      <w:autoSpaceDN w:val="0"/>
      <w:adjustRightInd w:val="0"/>
      <w:spacing w:before="170" w:after="24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Grund123">
    <w:name w:val="Grund 123"/>
    <w:basedOn w:val="Standard"/>
    <w:qFormat/>
    <w:rsid w:val="00103448"/>
    <w:pPr>
      <w:numPr>
        <w:numId w:val="16"/>
      </w:numPr>
      <w:suppressAutoHyphens/>
      <w:autoSpaceDE w:val="0"/>
      <w:autoSpaceDN w:val="0"/>
      <w:adjustRightInd w:val="0"/>
      <w:spacing w:before="28" w:after="0" w:line="240" w:lineRule="atLeast"/>
      <w:textAlignment w:val="center"/>
    </w:pPr>
    <w:rPr>
      <w:rFonts w:ascii="Arial" w:hAnsi="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1</Pages>
  <Words>405</Words>
  <Characters>2697</Characters>
  <Application>Microsoft Office Word</Application>
  <DocSecurity>0</DocSecurity>
  <Lines>55</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2026-09-21T13:51:00Z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