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CB9D3" w14:textId="77777777" w:rsidR="008D723D" w:rsidRPr="001E2D24" w:rsidRDefault="00000000" w:rsidP="001E2D24">
      <w:pPr>
        <w:pStyle w:val="Titel"/>
        <w:spacing w:after="120"/>
        <w:rPr>
          <w:lang w:val="de-DE"/>
        </w:rPr>
      </w:pPr>
      <w:r w:rsidRPr="001E2D24">
        <w:rPr>
          <w:lang w:val="de-DE"/>
        </w:rPr>
        <w:t>So berücksichtigen Sie gezielt psychische Belastungen in der Gefährdungsbeurteilung</w:t>
      </w:r>
    </w:p>
    <w:p w14:paraId="2711C505" w14:textId="77777777" w:rsidR="008D723D" w:rsidRDefault="00000000">
      <w:pPr>
        <w:pStyle w:val="Vorspann"/>
      </w:pPr>
      <w:r>
        <w:t>In Unternehmen sollten und werden auch in den meisten Fällen schon seit Längerem regelmäßig Gefährdungsbeurteilungen durchgeführt. Jedoch wurde und wird hierbei der Gefährdungsfaktor „psychische Belastung“ oft nicht eingehender beachtet. Weisen Sie als Gefahrstoffbeauftragte auf diesen Mangel hin und berücksichtigen Sie den Faktor angemessen im Gefahrstoffmanagement, um den Anforderungen des Arbeitsschutzgesetzes gerecht zu werden.</w:t>
      </w:r>
    </w:p>
    <w:tbl>
      <w:tblPr>
        <w:tblW w:w="907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4260"/>
        <w:gridCol w:w="4812"/>
      </w:tblGrid>
      <w:tr w:rsidR="008D723D" w14:paraId="5B846ECE" w14:textId="77777777" w:rsidTr="001E2D24">
        <w:trPr>
          <w:trHeight w:val="360"/>
          <w:tblHeader/>
          <w:jc w:val="center"/>
        </w:trPr>
        <w:tc>
          <w:tcPr>
            <w:tcW w:w="4260" w:type="dxa"/>
            <w:shd w:val="clear" w:color="auto" w:fill="4C4D4F"/>
            <w:tcMar>
              <w:top w:w="142" w:type="dxa"/>
              <w:left w:w="142" w:type="dxa"/>
              <w:bottom w:w="170" w:type="dxa"/>
              <w:right w:w="142" w:type="dxa"/>
            </w:tcMar>
            <w:vAlign w:val="center"/>
          </w:tcPr>
          <w:p w14:paraId="6FC023D6" w14:textId="77777777" w:rsidR="008D723D" w:rsidRDefault="00000000">
            <w:pPr>
              <w:pStyle w:val="TableParagraph"/>
            </w:pPr>
            <w:r>
              <w:rPr>
                <w:b/>
                <w:color w:val="FFFFFF"/>
                <w:sz w:val="20"/>
                <w:szCs w:val="20"/>
              </w:rPr>
              <w:t>Beispiele mit Bezug zu Gefahrstoffen</w:t>
            </w:r>
          </w:p>
        </w:tc>
        <w:tc>
          <w:tcPr>
            <w:tcW w:w="4812" w:type="dxa"/>
            <w:shd w:val="clear" w:color="auto" w:fill="4C4D4F"/>
            <w:tcMar>
              <w:top w:w="142" w:type="dxa"/>
              <w:left w:w="142" w:type="dxa"/>
              <w:bottom w:w="170" w:type="dxa"/>
              <w:right w:w="142" w:type="dxa"/>
            </w:tcMar>
            <w:vAlign w:val="center"/>
          </w:tcPr>
          <w:p w14:paraId="392BAC79" w14:textId="77777777" w:rsidR="008D723D" w:rsidRDefault="00000000">
            <w:pPr>
              <w:pStyle w:val="TableParagraph"/>
            </w:pPr>
            <w:r>
              <w:rPr>
                <w:b/>
                <w:color w:val="FFFFFF"/>
                <w:sz w:val="20"/>
                <w:szCs w:val="20"/>
              </w:rPr>
              <w:t>Implementierte Schutzmaßnahmen</w:t>
            </w:r>
          </w:p>
        </w:tc>
      </w:tr>
      <w:tr w:rsidR="008D723D" w14:paraId="5EB95A41" w14:textId="77777777" w:rsidTr="001E2D24">
        <w:trPr>
          <w:trHeight w:val="360"/>
          <w:jc w:val="center"/>
        </w:trPr>
        <w:tc>
          <w:tcPr>
            <w:tcW w:w="4260" w:type="dxa"/>
            <w:shd w:val="clear" w:color="auto" w:fill="E0E1E3"/>
            <w:tcMar>
              <w:top w:w="142" w:type="dxa"/>
              <w:left w:w="142" w:type="dxa"/>
              <w:bottom w:w="170" w:type="dxa"/>
              <w:right w:w="142" w:type="dxa"/>
            </w:tcMar>
            <w:vAlign w:val="center"/>
          </w:tcPr>
          <w:p w14:paraId="029BAE4E" w14:textId="77777777" w:rsidR="008D723D" w:rsidRDefault="00000000">
            <w:pPr>
              <w:pStyle w:val="TableParagraph"/>
            </w:pPr>
            <w:r>
              <w:rPr>
                <w:rFonts w:ascii="Arial Narrow" w:hAnsi="Arial Narrow" w:cs="Arial Narrow"/>
                <w:color w:val="231F20"/>
                <w:sz w:val="18"/>
                <w:szCs w:val="18"/>
              </w:rPr>
              <w:t>Nach einer Stoffumstellung werden Beschäftigte nur unzureichend über neue Gesundheitsgefahren und notwendige Schutzmaßnahmen informiert.</w:t>
            </w:r>
          </w:p>
        </w:tc>
        <w:tc>
          <w:tcPr>
            <w:tcW w:w="4812" w:type="dxa"/>
            <w:shd w:val="clear" w:color="auto" w:fill="E0E1E3"/>
            <w:tcMar>
              <w:top w:w="142" w:type="dxa"/>
              <w:left w:w="142" w:type="dxa"/>
              <w:bottom w:w="170" w:type="dxa"/>
              <w:right w:w="142" w:type="dxa"/>
            </w:tcMar>
            <w:vAlign w:val="center"/>
          </w:tcPr>
          <w:p w14:paraId="297A952B" w14:textId="77777777" w:rsidR="008D723D" w:rsidRDefault="00000000">
            <w:pPr>
              <w:pStyle w:val="TableParagraph"/>
            </w:pPr>
            <w:r>
              <w:rPr>
                <w:rFonts w:ascii="Arial Narrow" w:hAnsi="Arial Narrow" w:cs="Arial Narrow"/>
                <w:color w:val="231F20"/>
                <w:sz w:val="18"/>
                <w:szCs w:val="18"/>
              </w:rPr>
              <w:t>Vor Einführung neuer Gefahrstoffe werden Gefährdungsbeurteilungen aktualisiert, Beschäftigte unterwiesen sowie Sicherheitsdatenblätter und Betriebsanweisungen bereitgestellt und erläutert.</w:t>
            </w:r>
          </w:p>
        </w:tc>
      </w:tr>
      <w:tr w:rsidR="008D723D" w14:paraId="16CB6512" w14:textId="77777777" w:rsidTr="001E2D24">
        <w:trPr>
          <w:trHeight w:val="360"/>
          <w:jc w:val="center"/>
        </w:trPr>
        <w:tc>
          <w:tcPr>
            <w:tcW w:w="4260" w:type="dxa"/>
            <w:shd w:val="clear" w:color="auto" w:fill="E0E1E3"/>
            <w:tcMar>
              <w:top w:w="142" w:type="dxa"/>
              <w:left w:w="142" w:type="dxa"/>
              <w:bottom w:w="170" w:type="dxa"/>
              <w:right w:w="142" w:type="dxa"/>
            </w:tcMar>
            <w:vAlign w:val="center"/>
          </w:tcPr>
          <w:p w14:paraId="07C852F9" w14:textId="77777777" w:rsidR="008D723D" w:rsidRDefault="00000000">
            <w:pPr>
              <w:pStyle w:val="TableParagraph"/>
            </w:pPr>
            <w:r>
              <w:rPr>
                <w:rFonts w:ascii="Arial Narrow" w:hAnsi="Arial Narrow" w:cs="Arial Narrow"/>
                <w:color w:val="231F20"/>
                <w:sz w:val="18"/>
                <w:szCs w:val="18"/>
              </w:rPr>
              <w:t>Nach einem Gefahrstoffaustritt, einer akuten Vergiftung oder einer Expositionsmeldung bestehen Ängste hinsichtlich möglicher Langzeitfolgen.</w:t>
            </w:r>
          </w:p>
        </w:tc>
        <w:tc>
          <w:tcPr>
            <w:tcW w:w="4812" w:type="dxa"/>
            <w:shd w:val="clear" w:color="auto" w:fill="E0E1E3"/>
            <w:tcMar>
              <w:top w:w="142" w:type="dxa"/>
              <w:left w:w="142" w:type="dxa"/>
              <w:bottom w:w="170" w:type="dxa"/>
              <w:right w:w="142" w:type="dxa"/>
            </w:tcMar>
            <w:vAlign w:val="center"/>
          </w:tcPr>
          <w:p w14:paraId="2B23C864" w14:textId="77777777" w:rsidR="008D723D" w:rsidRDefault="00000000">
            <w:pPr>
              <w:pStyle w:val="TableParagraph"/>
            </w:pPr>
            <w:r>
              <w:rPr>
                <w:rFonts w:ascii="Arial Narrow" w:hAnsi="Arial Narrow" w:cs="Arial Narrow"/>
                <w:color w:val="231F20"/>
                <w:sz w:val="18"/>
                <w:szCs w:val="18"/>
              </w:rPr>
              <w:t>Ereignisse werden transparent aufgearbeitet. Betroffene erhalten arbeitsmedizinische Beratung, Informationen zu Exposition und Gesundheitsrisiken sowie bei Bedarf psychosoziale Unterstützung.</w:t>
            </w:r>
          </w:p>
        </w:tc>
      </w:tr>
      <w:tr w:rsidR="008D723D" w14:paraId="734C5683" w14:textId="77777777" w:rsidTr="001E2D24">
        <w:trPr>
          <w:trHeight w:val="360"/>
          <w:jc w:val="center"/>
        </w:trPr>
        <w:tc>
          <w:tcPr>
            <w:tcW w:w="4260" w:type="dxa"/>
            <w:shd w:val="clear" w:color="auto" w:fill="E0E1E3"/>
            <w:tcMar>
              <w:top w:w="142" w:type="dxa"/>
              <w:left w:w="142" w:type="dxa"/>
              <w:bottom w:w="170" w:type="dxa"/>
              <w:right w:w="142" w:type="dxa"/>
            </w:tcMar>
            <w:vAlign w:val="center"/>
          </w:tcPr>
          <w:p w14:paraId="13F1149F" w14:textId="77777777" w:rsidR="008D723D" w:rsidRDefault="00000000">
            <w:pPr>
              <w:pStyle w:val="TableParagraph"/>
            </w:pPr>
            <w:r>
              <w:rPr>
                <w:rFonts w:ascii="Arial Narrow" w:hAnsi="Arial Narrow" w:cs="Arial Narrow"/>
                <w:color w:val="231F20"/>
                <w:sz w:val="18"/>
                <w:szCs w:val="18"/>
              </w:rPr>
              <w:t>Während des Dosierens, Umfüllens oder Mischens von Gefahrstoffen kommt es regelmäßig zu Störungen, wodurch das Risiko von Verwechslungen und Fehlhandlungen steigt.</w:t>
            </w:r>
          </w:p>
        </w:tc>
        <w:tc>
          <w:tcPr>
            <w:tcW w:w="4812" w:type="dxa"/>
            <w:shd w:val="clear" w:color="auto" w:fill="E0E1E3"/>
            <w:tcMar>
              <w:top w:w="142" w:type="dxa"/>
              <w:left w:w="142" w:type="dxa"/>
              <w:bottom w:w="170" w:type="dxa"/>
              <w:right w:w="142" w:type="dxa"/>
            </w:tcMar>
            <w:vAlign w:val="center"/>
          </w:tcPr>
          <w:p w14:paraId="22B0CA44" w14:textId="77777777" w:rsidR="008D723D" w:rsidRDefault="00000000">
            <w:pPr>
              <w:pStyle w:val="TableParagraph"/>
            </w:pPr>
            <w:r>
              <w:rPr>
                <w:rFonts w:ascii="Arial Narrow" w:hAnsi="Arial Narrow" w:cs="Arial Narrow"/>
                <w:color w:val="231F20"/>
                <w:sz w:val="18"/>
                <w:szCs w:val="18"/>
              </w:rPr>
              <w:t>Arbeitsabläufe werden standardisiert, Behälter eindeutig gekennzeichnet und Störungen systematisch analysiert. Tätigkeiten mit erhöhtem Fehlerrisiko werden möglichst störungsfrei organisiert.</w:t>
            </w:r>
          </w:p>
        </w:tc>
      </w:tr>
      <w:tr w:rsidR="008D723D" w14:paraId="7C64D6B3" w14:textId="77777777" w:rsidTr="001E2D24">
        <w:trPr>
          <w:trHeight w:val="360"/>
          <w:jc w:val="center"/>
        </w:trPr>
        <w:tc>
          <w:tcPr>
            <w:tcW w:w="4260" w:type="dxa"/>
            <w:shd w:val="clear" w:color="auto" w:fill="E0E1E3"/>
            <w:tcMar>
              <w:top w:w="142" w:type="dxa"/>
              <w:left w:w="142" w:type="dxa"/>
              <w:bottom w:w="170" w:type="dxa"/>
              <w:right w:w="142" w:type="dxa"/>
            </w:tcMar>
            <w:vAlign w:val="center"/>
          </w:tcPr>
          <w:p w14:paraId="529FC830" w14:textId="77777777" w:rsidR="008D723D" w:rsidRDefault="00000000">
            <w:pPr>
              <w:pStyle w:val="TableParagraph"/>
            </w:pPr>
            <w:r>
              <w:rPr>
                <w:rFonts w:ascii="Arial Narrow" w:hAnsi="Arial Narrow" w:cs="Arial Narrow"/>
                <w:color w:val="231F20"/>
                <w:sz w:val="18"/>
                <w:szCs w:val="18"/>
              </w:rPr>
              <w:t>Langes Arbeiten mit besonders gefährlichen Stoffen kann durch erforderliche Schutzmaßnahmen zu mentaler Ermüdung und Fehlhandlungen führen.</w:t>
            </w:r>
          </w:p>
        </w:tc>
        <w:tc>
          <w:tcPr>
            <w:tcW w:w="4812" w:type="dxa"/>
            <w:shd w:val="clear" w:color="auto" w:fill="E0E1E3"/>
            <w:tcMar>
              <w:top w:w="142" w:type="dxa"/>
              <w:left w:w="142" w:type="dxa"/>
              <w:bottom w:w="170" w:type="dxa"/>
              <w:right w:w="142" w:type="dxa"/>
            </w:tcMar>
            <w:vAlign w:val="center"/>
          </w:tcPr>
          <w:p w14:paraId="56CFC928" w14:textId="77777777" w:rsidR="008D723D" w:rsidRDefault="00000000">
            <w:pPr>
              <w:pStyle w:val="TableParagraph"/>
            </w:pPr>
            <w:r>
              <w:rPr>
                <w:rFonts w:ascii="Arial Narrow" w:hAnsi="Arial Narrow" w:cs="Arial Narrow"/>
                <w:color w:val="231F20"/>
                <w:sz w:val="18"/>
                <w:szCs w:val="18"/>
              </w:rPr>
              <w:t>Tätigkeiten werden zeitlich begrenzt, abwechslungsreich gestaltet und durch Erholungsphasen und gegenseitige Sicherheitskontrollen ergänzt.</w:t>
            </w:r>
          </w:p>
        </w:tc>
      </w:tr>
      <w:tr w:rsidR="008D723D" w14:paraId="54DFC447" w14:textId="77777777" w:rsidTr="001E2D24">
        <w:trPr>
          <w:trHeight w:val="360"/>
          <w:jc w:val="center"/>
        </w:trPr>
        <w:tc>
          <w:tcPr>
            <w:tcW w:w="4260" w:type="dxa"/>
            <w:shd w:val="clear" w:color="auto" w:fill="E0E1E3"/>
            <w:tcMar>
              <w:top w:w="142" w:type="dxa"/>
              <w:left w:w="142" w:type="dxa"/>
              <w:bottom w:w="170" w:type="dxa"/>
              <w:right w:w="142" w:type="dxa"/>
            </w:tcMar>
            <w:vAlign w:val="center"/>
          </w:tcPr>
          <w:p w14:paraId="438D82B2" w14:textId="77777777" w:rsidR="008D723D" w:rsidRDefault="00000000">
            <w:pPr>
              <w:pStyle w:val="TableParagraph"/>
            </w:pPr>
            <w:r>
              <w:rPr>
                <w:rFonts w:ascii="Arial Narrow" w:hAnsi="Arial Narrow" w:cs="Arial Narrow"/>
                <w:color w:val="231F20"/>
                <w:sz w:val="18"/>
                <w:szCs w:val="18"/>
              </w:rPr>
              <w:t>Hinweise auf Gefahrstoffrisiken werden nicht ernst genommen oder Beschäftigte erleben einen Konflikt zwischen Sicherheitsanforderungen und Produktivitätsvorgaben.</w:t>
            </w:r>
          </w:p>
        </w:tc>
        <w:tc>
          <w:tcPr>
            <w:tcW w:w="4812" w:type="dxa"/>
            <w:shd w:val="clear" w:color="auto" w:fill="E0E1E3"/>
            <w:tcMar>
              <w:top w:w="142" w:type="dxa"/>
              <w:left w:w="142" w:type="dxa"/>
              <w:bottom w:w="170" w:type="dxa"/>
              <w:right w:w="142" w:type="dxa"/>
            </w:tcMar>
            <w:vAlign w:val="center"/>
          </w:tcPr>
          <w:p w14:paraId="26DBAF45" w14:textId="77777777" w:rsidR="008D723D" w:rsidRDefault="00000000">
            <w:pPr>
              <w:pStyle w:val="TableParagraph"/>
            </w:pPr>
            <w:r>
              <w:rPr>
                <w:rFonts w:ascii="Arial Narrow" w:hAnsi="Arial Narrow" w:cs="Arial Narrow"/>
                <w:color w:val="231F20"/>
                <w:sz w:val="18"/>
                <w:szCs w:val="18"/>
              </w:rPr>
              <w:t>Beschäftigte werden aktiv in den Arbeitsschutz eingebunden. Meldungen zu Gefahrstoffrisiken werden systematisch erfasst, bewertet und mit Rückmeldung an die Beschäftigten bearbeitet.</w:t>
            </w:r>
          </w:p>
        </w:tc>
      </w:tr>
      <w:tr w:rsidR="008D723D" w14:paraId="384EE025" w14:textId="77777777" w:rsidTr="001E2D24">
        <w:trPr>
          <w:trHeight w:val="360"/>
          <w:jc w:val="center"/>
        </w:trPr>
        <w:tc>
          <w:tcPr>
            <w:tcW w:w="4260" w:type="dxa"/>
            <w:shd w:val="clear" w:color="auto" w:fill="E0E1E3"/>
            <w:tcMar>
              <w:top w:w="142" w:type="dxa"/>
              <w:left w:w="142" w:type="dxa"/>
              <w:bottom w:w="170" w:type="dxa"/>
              <w:right w:w="142" w:type="dxa"/>
            </w:tcMar>
            <w:vAlign w:val="center"/>
          </w:tcPr>
          <w:p w14:paraId="2779CC4F" w14:textId="77777777" w:rsidR="008D723D" w:rsidRDefault="00000000">
            <w:pPr>
              <w:pStyle w:val="TableParagraph"/>
            </w:pPr>
            <w:r>
              <w:rPr>
                <w:rFonts w:ascii="Arial Narrow" w:hAnsi="Arial Narrow" w:cs="Arial Narrow"/>
                <w:color w:val="231F20"/>
                <w:sz w:val="18"/>
                <w:szCs w:val="18"/>
              </w:rPr>
              <w:t>Gefahrstofftätigkeiten finden in beengten Bereichen statt mit eingeschränkten Flucht- und Rettungsmöglichkeiten.</w:t>
            </w:r>
          </w:p>
        </w:tc>
        <w:tc>
          <w:tcPr>
            <w:tcW w:w="4812" w:type="dxa"/>
            <w:shd w:val="clear" w:color="auto" w:fill="E0E1E3"/>
            <w:tcMar>
              <w:top w:w="142" w:type="dxa"/>
              <w:left w:w="142" w:type="dxa"/>
              <w:bottom w:w="170" w:type="dxa"/>
              <w:right w:w="142" w:type="dxa"/>
            </w:tcMar>
            <w:vAlign w:val="center"/>
          </w:tcPr>
          <w:p w14:paraId="069FB77D" w14:textId="77777777" w:rsidR="008D723D" w:rsidRDefault="00000000">
            <w:pPr>
              <w:pStyle w:val="TableParagraph"/>
            </w:pPr>
            <w:r>
              <w:rPr>
                <w:rFonts w:ascii="Arial Narrow" w:hAnsi="Arial Narrow" w:cs="Arial Narrow"/>
                <w:color w:val="231F20"/>
                <w:sz w:val="18"/>
                <w:szCs w:val="18"/>
              </w:rPr>
              <w:t>Arbeiten in beengten Bereichen werden geplant und überwacht, Fluchtwege freigehalten, Notfallmaßnahmen geübt und bei Bedarf Sicherungsposten eingesetzt.</w:t>
            </w:r>
          </w:p>
        </w:tc>
      </w:tr>
    </w:tbl>
    <w:p w14:paraId="44F9CBF3" w14:textId="77777777" w:rsidR="008D723D" w:rsidRDefault="008D723D"/>
    <w:sectPr w:rsidR="008D723D" w:rsidSect="00F01073">
      <w:headerReference w:type="even" r:id="rId10"/>
      <w:headerReference w:type="default" r:id="rId11"/>
      <w:footerReference w:type="even" r:id="rId12"/>
      <w:footerReference w:type="default" r:id="rId13"/>
      <w:headerReference w:type="first" r:id="rId14"/>
      <w:footerReference w:type="first" r:id="rId15"/>
      <w:pgSz w:w="11906" w:h="16838" w:code="9"/>
      <w:pgMar w:top="1613" w:right="1417" w:bottom="1134" w:left="1417" w:header="0" w:footer="50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5F1B5" w14:textId="77777777" w:rsidR="00AD5C9E" w:rsidRDefault="00AD5C9E" w:rsidP="008B0457">
      <w:pPr>
        <w:spacing w:line="240" w:lineRule="auto"/>
      </w:pPr>
      <w:r>
        <w:separator/>
      </w:r>
    </w:p>
  </w:endnote>
  <w:endnote w:type="continuationSeparator" w:id="0">
    <w:p w14:paraId="787775A2" w14:textId="77777777" w:rsidR="00AD5C9E" w:rsidRDefault="00AD5C9E" w:rsidP="008B04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23CE9" w14:textId="77777777" w:rsidR="00E5534B" w:rsidRDefault="00E5534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AD67" w14:textId="77777777" w:rsidR="002B1C90" w:rsidRPr="00530A6E" w:rsidRDefault="00FD2B26" w:rsidP="00E30887">
    <w:pPr>
      <w:pStyle w:val="Fuzeile"/>
      <w:tabs>
        <w:tab w:val="right" w:pos="4320"/>
      </w:tabs>
      <w:ind w:firstLine="720"/>
      <w:rPr>
        <w:rFonts w:ascii="Arial" w:hAnsi="Arial"/>
        <w:noProof/>
        <w:sz w:val="16"/>
        <w:lang w:bidi="de-DE"/>
      </w:rPr>
    </w:pPr>
    <w:r>
      <w:rPr>
        <w:noProof/>
        <w:lang w:eastAsia="de-DE"/>
      </w:rPr>
      <mc:AlternateContent>
        <mc:Choice Requires="wps">
          <w:drawing>
            <wp:anchor distT="0" distB="0" distL="114300" distR="114300" simplePos="0" relativeHeight="251657728" behindDoc="1" locked="1" layoutInCell="1" allowOverlap="1" wp14:anchorId="19CE5396" wp14:editId="1B695665">
              <wp:simplePos x="0" y="0"/>
              <wp:positionH relativeFrom="page">
                <wp:posOffset>3695700</wp:posOffset>
              </wp:positionH>
              <wp:positionV relativeFrom="page">
                <wp:posOffset>6400800</wp:posOffset>
              </wp:positionV>
              <wp:extent cx="609600" cy="8001000"/>
              <wp:effectExtent l="12700" t="0" r="12700" b="12700"/>
              <wp:wrapNone/>
              <wp:docPr id="1"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937401"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91pt;margin-top:7in;width:48pt;height:630pt;rotation:90;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" fillcolor="#009fe4" stroked="f">
              <v:textbox inset=",7.2pt,,7.2pt"/>
              <w10:wrap anchorx="page" anchory="page"/>
              <w10:anchorlock/>
            </v:shape>
          </w:pict>
        </mc:Fallback>
      </mc:AlternateContent>
    </w:r>
    <w:r w:rsidR="00C67D68" w:rsidRPr="00530A6E">
      <w:rPr>
        <w:rFonts w:ascii="Arial" w:hAnsi="Arial"/>
        <w:sz w:val="18"/>
        <w:lang w:bidi="de-DE"/>
      </w:rPr>
      <w:t xml:space="preserve">© </w:t>
    </w:r>
    <w:r w:rsidR="006A5CC8">
      <w:rPr>
        <w:rFonts w:ascii="Arial" w:hAnsi="Arial"/>
        <w:sz w:val="18"/>
        <w:lang w:bidi="de-DE"/>
      </w:rPr>
      <w:t>2026</w:t>
    </w:r>
    <w:r w:rsidR="00D11EAF">
      <w:rPr>
        <w:rFonts w:ascii="Arial" w:hAnsi="Arial"/>
        <w:sz w:val="18"/>
        <w:lang w:bidi="de-DE"/>
      </w:rPr>
      <w:t xml:space="preserve"> </w:t>
    </w:r>
    <w:proofErr w:type="spellStart"/>
    <w:r w:rsidR="00C67D68" w:rsidRPr="00530A6E">
      <w:rPr>
        <w:rFonts w:ascii="Arial" w:hAnsi="Arial"/>
        <w:sz w:val="18"/>
        <w:lang w:bidi="de-DE"/>
      </w:rPr>
      <w:t>SafetyXperts</w:t>
    </w:r>
    <w:proofErr w:type="spellEnd"/>
    <w:r w:rsidR="00C67D68" w:rsidRPr="00530A6E">
      <w:rPr>
        <w:rFonts w:ascii="Arial" w:hAnsi="Arial"/>
        <w:sz w:val="18"/>
        <w:lang w:bidi="de-DE"/>
      </w:rPr>
      <w:t xml:space="preserve">, </w:t>
    </w:r>
    <w:r w:rsidR="003F7E3D" w:rsidRPr="00530A6E">
      <w:rPr>
        <w:rFonts w:ascii="Arial" w:hAnsi="Arial"/>
        <w:sz w:val="18"/>
        <w:lang w:bidi="de-DE"/>
      </w:rPr>
      <w:t>Gefahrstoffe aktuell</w:t>
    </w:r>
    <w:r w:rsidR="00FB3FA4">
      <w:rPr>
        <w:rFonts w:ascii="Arial" w:hAnsi="Arial"/>
        <w:sz w:val="18"/>
        <w:lang w:bidi="de-DE"/>
      </w:rPr>
      <w:t>, Dr.-Ing. Mikko Börkircher</w:t>
    </w:r>
    <w:r w:rsidR="00C67D68" w:rsidRPr="00530A6E">
      <w:rPr>
        <w:rFonts w:ascii="Arial" w:hAnsi="Arial"/>
        <w:sz w:val="16"/>
        <w:lang w:bidi="de-DE"/>
      </w:rPr>
      <w:tab/>
    </w:r>
    <w:r w:rsidR="002B1C90" w:rsidRPr="00530A6E">
      <w:rPr>
        <w:rFonts w:ascii="Arial" w:hAnsi="Arial"/>
        <w:sz w:val="16"/>
        <w:lang w:bidi="de-DE"/>
      </w:rPr>
      <w:t xml:space="preserve">Seite </w:t>
    </w:r>
    <w:r w:rsidR="00585E82" w:rsidRPr="00530A6E">
      <w:rPr>
        <w:rFonts w:ascii="Arial" w:hAnsi="Arial"/>
        <w:sz w:val="20"/>
        <w:lang w:bidi="de-DE"/>
      </w:rPr>
      <w:fldChar w:fldCharType="begin"/>
    </w:r>
    <w:r w:rsidR="00585E82" w:rsidRPr="00530A6E">
      <w:rPr>
        <w:rFonts w:ascii="Arial" w:hAnsi="Arial"/>
        <w:sz w:val="20"/>
        <w:lang w:bidi="de-DE"/>
      </w:rPr>
      <w:instrText xml:space="preserve"> </w:instrText>
    </w:r>
    <w:r w:rsidR="00D0768F">
      <w:rPr>
        <w:rFonts w:ascii="Arial" w:hAnsi="Arial"/>
        <w:sz w:val="20"/>
        <w:lang w:bidi="de-DE"/>
      </w:rPr>
      <w:instrText>PAGE</w:instrText>
    </w:r>
    <w:r w:rsidR="00585E82" w:rsidRPr="00530A6E">
      <w:rPr>
        <w:rFonts w:ascii="Arial" w:hAnsi="Arial"/>
        <w:sz w:val="20"/>
        <w:lang w:bidi="de-DE"/>
      </w:rPr>
      <w:instrText xml:space="preserve">  \* MERGEFORMAT </w:instrText>
    </w:r>
    <w:r w:rsidR="00585E82" w:rsidRPr="00530A6E">
      <w:rPr>
        <w:rFonts w:ascii="Arial" w:hAnsi="Arial"/>
        <w:sz w:val="20"/>
        <w:lang w:bidi="de-DE"/>
      </w:rPr>
      <w:fldChar w:fldCharType="separate"/>
    </w:r>
    <w:r w:rsidR="00B1424D" w:rsidRPr="00B1424D">
      <w:rPr>
        <w:rFonts w:ascii="Arial" w:hAnsi="Arial"/>
        <w:noProof/>
        <w:sz w:val="16"/>
        <w:lang w:bidi="de-DE"/>
      </w:rPr>
      <w:t>1</w:t>
    </w:r>
    <w:r w:rsidR="00585E82" w:rsidRPr="00530A6E">
      <w:rPr>
        <w:rFonts w:ascii="Arial" w:hAnsi="Arial"/>
        <w:noProof/>
        <w:sz w:val="16"/>
        <w:lang w:bidi="de-DE"/>
      </w:rPr>
      <w:fldChar w:fldCharType="end"/>
    </w:r>
  </w:p>
  <w:p w14:paraId="3962525D" w14:textId="77777777" w:rsidR="00C67D68" w:rsidRPr="00C67D68" w:rsidRDefault="00C67D68" w:rsidP="00C67D68">
    <w:pPr>
      <w:pStyle w:val="Fuzeile"/>
      <w:ind w:firstLine="720"/>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3FAE" w14:textId="77777777" w:rsidR="00E5534B" w:rsidRDefault="00E5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AE4CF" w14:textId="77777777" w:rsidR="00AD5C9E" w:rsidRDefault="00AD5C9E" w:rsidP="008B0457">
      <w:pPr>
        <w:spacing w:line="240" w:lineRule="auto"/>
      </w:pPr>
      <w:r>
        <w:separator/>
      </w:r>
    </w:p>
  </w:footnote>
  <w:footnote w:type="continuationSeparator" w:id="0">
    <w:p w14:paraId="77AE29B0" w14:textId="77777777" w:rsidR="00AD5C9E" w:rsidRDefault="00AD5C9E" w:rsidP="008B04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A4B20" w14:textId="77777777" w:rsidR="00E5534B" w:rsidRDefault="00E5534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0F019" w14:textId="77777777" w:rsidR="00C67D68" w:rsidRDefault="007F764C">
    <w:pPr>
      <w:pStyle w:val="Kopfzeile"/>
    </w:pPr>
    <w:r>
      <w:rPr>
        <w:noProof/>
        <w:lang w:eastAsia="de-DE"/>
      </w:rPr>
      <w:drawing>
        <wp:anchor distT="0" distB="0" distL="114300" distR="114300" simplePos="0" relativeHeight="251660800" behindDoc="0" locked="0" layoutInCell="1" allowOverlap="1" wp14:anchorId="42F3C39B" wp14:editId="1CA3F710">
          <wp:simplePos x="0" y="0"/>
          <wp:positionH relativeFrom="margin">
            <wp:posOffset>0</wp:posOffset>
          </wp:positionH>
          <wp:positionV relativeFrom="paragraph">
            <wp:posOffset>275465</wp:posOffset>
          </wp:positionV>
          <wp:extent cx="2313940" cy="570865"/>
          <wp:effectExtent l="0" t="0" r="0" b="635"/>
          <wp:wrapThrough wrapText="bothSides">
            <wp:wrapPolygon edited="0">
              <wp:start x="830" y="0"/>
              <wp:lineTo x="0" y="2403"/>
              <wp:lineTo x="0" y="15377"/>
              <wp:lineTo x="830" y="15377"/>
              <wp:lineTo x="356" y="19221"/>
              <wp:lineTo x="474" y="19702"/>
              <wp:lineTo x="1186" y="21143"/>
              <wp:lineTo x="2727" y="21143"/>
              <wp:lineTo x="21458" y="17780"/>
              <wp:lineTo x="21458" y="3844"/>
              <wp:lineTo x="2252" y="0"/>
              <wp:lineTo x="830" y="0"/>
            </wp:wrapPolygon>
          </wp:wrapThrough>
          <wp:docPr id="2" name="Grafik 1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1" descr="Ein Bild, das Text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13940" cy="5708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2B26">
      <w:rPr>
        <w:noProof/>
        <w:lang w:eastAsia="de-DE"/>
      </w:rPr>
      <mc:AlternateContent>
        <mc:Choice Requires="wps">
          <w:drawing>
            <wp:anchor distT="0" distB="0" distL="114300" distR="114300" simplePos="0" relativeHeight="251658752" behindDoc="1" locked="1" layoutInCell="1" allowOverlap="1" wp14:anchorId="5949EDEA" wp14:editId="04390054">
              <wp:simplePos x="0" y="0"/>
              <wp:positionH relativeFrom="page">
                <wp:posOffset>3371850</wp:posOffset>
              </wp:positionH>
              <wp:positionV relativeFrom="page">
                <wp:align>top</wp:align>
              </wp:positionV>
              <wp:extent cx="609600" cy="8001000"/>
              <wp:effectExtent l="12700" t="0" r="12700" b="12700"/>
              <wp:wrapNone/>
              <wp:docPr id="10" name="AutoForm 1" title="Seitenra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V="1">
                        <a:off x="0" y="0"/>
                        <a:ext cx="609600" cy="8001000"/>
                      </a:xfrm>
                      <a:prstGeom prst="rtTriangle">
                        <a:avLst/>
                      </a:prstGeom>
                      <a:solidFill>
                        <a:srgbClr val="009FE4"/>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99398" id="_x0000_t6" coordsize="21600,21600" o:spt="6" path="m,l,21600r21600,xe">
              <v:stroke joinstyle="miter"/>
              <v:path gradientshapeok="t" o:connecttype="custom" o:connectlocs="0,0;0,10800;0,21600;10800,21600;21600,21600;10800,10800" textboxrect="1800,12600,12600,19800"/>
            </v:shapetype>
            <v:shape id="AutoForm 1" o:spid="_x0000_s1026" type="#_x0000_t6" alt="Titel: Seitenrand" style="position:absolute;margin-left:265.5pt;margin-top:0;width:48pt;height:630pt;rotation:-90;flip:y;z-index:-25165772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" fillcolor="#009fe4" stroked="f">
              <v:textbox inset=",7.2pt,,7.2p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29A5F" w14:textId="77777777" w:rsidR="00E5534B" w:rsidRDefault="00E5534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9ED0B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6D688910"/>
    <w:lvl w:ilvl="0">
      <w:start w:val="1"/>
      <w:numFmt w:val="decimal"/>
      <w:lvlText w:val="%1."/>
      <w:lvlJc w:val="left"/>
      <w:pPr>
        <w:tabs>
          <w:tab w:val="num" w:pos="643"/>
        </w:tabs>
        <w:ind w:left="643" w:hanging="360"/>
      </w:pPr>
    </w:lvl>
  </w:abstractNum>
  <w:abstractNum w:abstractNumId="2" w15:restartNumberingAfterBreak="0">
    <w:nsid w:val="040444BD"/>
    <w:multiLevelType w:val="hybridMultilevel"/>
    <w:tmpl w:val="7DB88CA4"/>
    <w:lvl w:ilvl="0" w:tplc="BA7E1E04">
      <w:start w:val="1"/>
      <w:numFmt w:val="bullet"/>
      <w:lvlText w:val=""/>
      <w:lvlJc w:val="left"/>
      <w:pPr>
        <w:ind w:left="360" w:hanging="360"/>
      </w:pPr>
      <w:rPr>
        <w:rFonts w:ascii="Wingdings" w:hAnsi="Wingdings" w:hint="default"/>
        <w:b w:val="0"/>
        <w:i w:val="0"/>
        <w:color w:val="79C24D"/>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8F322F"/>
    <w:multiLevelType w:val="multilevel"/>
    <w:tmpl w:val="D35638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8540B8"/>
    <w:multiLevelType w:val="hybridMultilevel"/>
    <w:tmpl w:val="4B94FED8"/>
    <w:lvl w:ilvl="0" w:tplc="B10CC412">
      <w:start w:val="1"/>
      <w:numFmt w:val="bullet"/>
      <w:pStyle w:val="Aufzhlungszeichen21"/>
      <w:lvlText w:val="–"/>
      <w:lvlJc w:val="left"/>
      <w:pPr>
        <w:ind w:left="990" w:hanging="360"/>
      </w:pPr>
      <w:rPr>
        <w:rFonts w:ascii="Times New Roman" w:hAnsi="Times New Roman" w:hint="default"/>
        <w:color w:val="E2602F"/>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30449FE"/>
    <w:multiLevelType w:val="hybridMultilevel"/>
    <w:tmpl w:val="99C0F2BC"/>
    <w:lvl w:ilvl="0" w:tplc="CE6463F8">
      <w:start w:val="1"/>
      <w:numFmt w:val="bullet"/>
      <w:pStyle w:val="Listenabsatz"/>
      <w:lvlText w:val="•"/>
      <w:lvlJc w:val="left"/>
      <w:pPr>
        <w:ind w:left="1440" w:hanging="360"/>
      </w:pPr>
      <w:rPr>
        <w:rFonts w:ascii="Times New Roman" w:hAnsi="Times New Roman" w:hint="default"/>
        <w:b w:val="0"/>
        <w:i w:val="0"/>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B020B4"/>
    <w:multiLevelType w:val="multilevel"/>
    <w:tmpl w:val="7DB88CA4"/>
    <w:lvl w:ilvl="0">
      <w:start w:val="1"/>
      <w:numFmt w:val="bullet"/>
      <w:lvlText w:val=""/>
      <w:lvlJc w:val="left"/>
      <w:pPr>
        <w:ind w:left="360" w:hanging="360"/>
      </w:pPr>
      <w:rPr>
        <w:rFonts w:ascii="Wingdings" w:hAnsi="Wingdings" w:hint="default"/>
        <w:b w:val="0"/>
        <w:i w:val="0"/>
        <w:color w:val="79C24D"/>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7534338">
    <w:abstractNumId w:val="3"/>
  </w:num>
  <w:num w:numId="2" w16cid:durableId="1840732884">
    <w:abstractNumId w:val="4"/>
  </w:num>
  <w:num w:numId="3" w16cid:durableId="1520771980">
    <w:abstractNumId w:val="5"/>
  </w:num>
  <w:num w:numId="4" w16cid:durableId="109252745">
    <w:abstractNumId w:val="2"/>
  </w:num>
  <w:num w:numId="5" w16cid:durableId="1643463138">
    <w:abstractNumId w:val="6"/>
  </w:num>
  <w:num w:numId="6" w16cid:durableId="1206681143">
    <w:abstractNumId w:val="1"/>
  </w:num>
  <w:num w:numId="7" w16cid:durableId="138616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removePersonalInformation/>
  <w:removeDateAndTime/>
  <w:hideSpelling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F25"/>
    <w:rsid w:val="0003156E"/>
    <w:rsid w:val="000B2C5D"/>
    <w:rsid w:val="000B6D6E"/>
    <w:rsid w:val="00116834"/>
    <w:rsid w:val="001421CE"/>
    <w:rsid w:val="001470F1"/>
    <w:rsid w:val="0016672A"/>
    <w:rsid w:val="00181F90"/>
    <w:rsid w:val="00194FA3"/>
    <w:rsid w:val="001C7C15"/>
    <w:rsid w:val="001E2D24"/>
    <w:rsid w:val="001F7B50"/>
    <w:rsid w:val="00274659"/>
    <w:rsid w:val="002A0996"/>
    <w:rsid w:val="002B1C90"/>
    <w:rsid w:val="002D5565"/>
    <w:rsid w:val="002E3205"/>
    <w:rsid w:val="00300E6A"/>
    <w:rsid w:val="00344C99"/>
    <w:rsid w:val="003A77CE"/>
    <w:rsid w:val="003F16D8"/>
    <w:rsid w:val="003F7E3D"/>
    <w:rsid w:val="00530A6E"/>
    <w:rsid w:val="005846B3"/>
    <w:rsid w:val="00585E82"/>
    <w:rsid w:val="005A3DD0"/>
    <w:rsid w:val="005A5989"/>
    <w:rsid w:val="006259A1"/>
    <w:rsid w:val="00662F25"/>
    <w:rsid w:val="006747B0"/>
    <w:rsid w:val="00675F78"/>
    <w:rsid w:val="006A5CC8"/>
    <w:rsid w:val="006C0196"/>
    <w:rsid w:val="006C0AED"/>
    <w:rsid w:val="006C27EC"/>
    <w:rsid w:val="006C444D"/>
    <w:rsid w:val="00701BDD"/>
    <w:rsid w:val="00710948"/>
    <w:rsid w:val="007C083D"/>
    <w:rsid w:val="007D0995"/>
    <w:rsid w:val="007F764C"/>
    <w:rsid w:val="0081053B"/>
    <w:rsid w:val="00811147"/>
    <w:rsid w:val="00851BEE"/>
    <w:rsid w:val="00875E27"/>
    <w:rsid w:val="008B0457"/>
    <w:rsid w:val="008D723D"/>
    <w:rsid w:val="00967E13"/>
    <w:rsid w:val="00A27BBA"/>
    <w:rsid w:val="00A34118"/>
    <w:rsid w:val="00AD2609"/>
    <w:rsid w:val="00AD5C9E"/>
    <w:rsid w:val="00AE53AB"/>
    <w:rsid w:val="00B04DF0"/>
    <w:rsid w:val="00B11398"/>
    <w:rsid w:val="00B1424D"/>
    <w:rsid w:val="00B27F29"/>
    <w:rsid w:val="00B3753E"/>
    <w:rsid w:val="00B55E3C"/>
    <w:rsid w:val="00B734EF"/>
    <w:rsid w:val="00B75C23"/>
    <w:rsid w:val="00B80F1F"/>
    <w:rsid w:val="00B915E8"/>
    <w:rsid w:val="00BA5824"/>
    <w:rsid w:val="00BB5447"/>
    <w:rsid w:val="00C45F02"/>
    <w:rsid w:val="00C5215E"/>
    <w:rsid w:val="00C67D68"/>
    <w:rsid w:val="00C838DE"/>
    <w:rsid w:val="00C9060D"/>
    <w:rsid w:val="00C90F50"/>
    <w:rsid w:val="00D00296"/>
    <w:rsid w:val="00D0768F"/>
    <w:rsid w:val="00D11EAF"/>
    <w:rsid w:val="00D141B9"/>
    <w:rsid w:val="00D41208"/>
    <w:rsid w:val="00D76823"/>
    <w:rsid w:val="00E30887"/>
    <w:rsid w:val="00E42E27"/>
    <w:rsid w:val="00E54649"/>
    <w:rsid w:val="00E5534B"/>
    <w:rsid w:val="00E71676"/>
    <w:rsid w:val="00E77895"/>
    <w:rsid w:val="00E87F66"/>
    <w:rsid w:val="00EE14B4"/>
    <w:rsid w:val="00EF4498"/>
    <w:rsid w:val="00F0046E"/>
    <w:rsid w:val="00F01073"/>
    <w:rsid w:val="00F01428"/>
    <w:rsid w:val="00F06AF6"/>
    <w:rsid w:val="00F5564F"/>
    <w:rsid w:val="00F6243E"/>
    <w:rsid w:val="00F93095"/>
    <w:rsid w:val="00FA0816"/>
    <w:rsid w:val="00FB3FA4"/>
    <w:rsid w:val="00FB4A42"/>
    <w:rsid w:val="00FD2B26"/>
    <w:rsid w:val="00FD5B25"/>
  </w:rsids>
  <m:mathPr>
    <m:mathFont m:val="Cambria Math"/>
    <m:brkBin m:val="before"/>
    <m:brkBinSub m:val="--"/>
    <m:smallFrac/>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3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de-DE" w:eastAsia="de-D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B55E3C"/>
    <w:pPr>
      <w:spacing w:before="60" w:after="60" w:line="264" w:lineRule="auto"/>
    </w:pPr>
    <w:rPr>
      <w:rFonts w:ascii="Times New Roman" w:hAnsi="Times New Roman"/>
      <w:sz w:val="22"/>
      <w:szCs w:val="22"/>
      <w:lang w:eastAsia="en-US"/>
    </w:rPr>
  </w:style>
  <w:style w:type="paragraph" w:styleId="berschrift1">
    <w:name w:val="heading 1"/>
    <w:basedOn w:val="Standard"/>
    <w:next w:val="Standard"/>
    <w:uiPriority w:val="9"/>
    <w:qFormat/>
    <w:rsid w:val="00A27BBA"/>
    <w:pPr>
      <w:keepNext/>
      <w:keepLines/>
      <w:spacing w:before="320" w:after="100"/>
      <w:outlineLvl w:val="0"/>
    </w:pPr>
    <w:rPr>
      <w:rFonts w:ascii="Arial" w:hAnsi="Arial"/>
      <w:b/>
      <w:caps/>
      <w:color w:val="589633"/>
      <w:sz w:val="32"/>
      <w:szCs w:val="40"/>
    </w:rPr>
  </w:style>
  <w:style w:type="paragraph" w:styleId="berschrift2">
    <w:name w:val="heading 2"/>
    <w:basedOn w:val="Standard"/>
    <w:next w:val="Standard"/>
    <w:uiPriority w:val="9"/>
    <w:semiHidden/>
    <w:unhideWhenUsed/>
    <w:rsid w:val="00B734EF"/>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rsid w:val="00B734EF"/>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rsid w:val="00B734EF"/>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rsid w:val="00B734EF"/>
    <w:pPr>
      <w:keepNext/>
      <w:keepLines/>
      <w:spacing w:before="240" w:after="80"/>
      <w:outlineLvl w:val="4"/>
    </w:pPr>
    <w:rPr>
      <w:color w:val="666666"/>
    </w:rPr>
  </w:style>
  <w:style w:type="paragraph" w:styleId="berschrift6">
    <w:name w:val="heading 6"/>
    <w:basedOn w:val="Standard"/>
    <w:next w:val="Standard"/>
    <w:uiPriority w:val="9"/>
    <w:semiHidden/>
    <w:unhideWhenUsed/>
    <w:qFormat/>
    <w:rsid w:val="00B734EF"/>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A27BBA"/>
    <w:pPr>
      <w:keepNext/>
      <w:keepLines/>
      <w:spacing w:after="480"/>
    </w:pPr>
    <w:rPr>
      <w:rFonts w:ascii="Arial" w:hAnsi="Arial"/>
      <w:b/>
      <w:caps/>
      <w:noProof/>
      <w:sz w:val="44"/>
      <w:szCs w:val="52"/>
      <w:lang w:val="en-US"/>
    </w:rPr>
  </w:style>
  <w:style w:type="paragraph" w:styleId="Untertitel">
    <w:name w:val="Subtitle"/>
    <w:basedOn w:val="Standard"/>
    <w:next w:val="Standard"/>
    <w:uiPriority w:val="11"/>
    <w:rsid w:val="00B734EF"/>
    <w:pPr>
      <w:keepNext/>
      <w:keepLines/>
      <w:spacing w:after="320"/>
    </w:pPr>
    <w:rPr>
      <w:color w:val="666666"/>
      <w:sz w:val="30"/>
      <w:szCs w:val="30"/>
    </w:rPr>
  </w:style>
  <w:style w:type="paragraph" w:styleId="Kopfzeile">
    <w:name w:val="header"/>
    <w:basedOn w:val="Standard"/>
    <w:link w:val="KopfzeileZchn"/>
    <w:uiPriority w:val="99"/>
    <w:unhideWhenUsed/>
    <w:rsid w:val="002D5565"/>
    <w:pPr>
      <w:tabs>
        <w:tab w:val="center" w:pos="4320"/>
        <w:tab w:val="right" w:pos="8640"/>
      </w:tabs>
      <w:spacing w:line="240" w:lineRule="auto"/>
    </w:pPr>
  </w:style>
  <w:style w:type="character" w:customStyle="1" w:styleId="KopfzeileZchn">
    <w:name w:val="Kopfzeile Zchn"/>
    <w:basedOn w:val="Absatz-Standardschriftart"/>
    <w:link w:val="Kopfzeile"/>
    <w:uiPriority w:val="99"/>
    <w:rsid w:val="002D5565"/>
  </w:style>
  <w:style w:type="paragraph" w:styleId="Fuzeile">
    <w:name w:val="footer"/>
    <w:basedOn w:val="Standard"/>
    <w:link w:val="FuzeileZchn"/>
    <w:uiPriority w:val="99"/>
    <w:unhideWhenUsed/>
    <w:rsid w:val="002D5565"/>
    <w:pPr>
      <w:tabs>
        <w:tab w:val="center" w:pos="4320"/>
        <w:tab w:val="right" w:pos="8640"/>
      </w:tabs>
      <w:spacing w:line="240" w:lineRule="auto"/>
    </w:pPr>
  </w:style>
  <w:style w:type="character" w:customStyle="1" w:styleId="FuzeileZchn">
    <w:name w:val="Fußzeile Zchn"/>
    <w:basedOn w:val="Absatz-Standardschriftart"/>
    <w:link w:val="Fuzeile"/>
    <w:uiPriority w:val="99"/>
    <w:rsid w:val="002D5565"/>
  </w:style>
  <w:style w:type="paragraph" w:customStyle="1" w:styleId="Checkliste">
    <w:name w:val="Checkliste"/>
    <w:basedOn w:val="Standard"/>
    <w:qFormat/>
    <w:rsid w:val="00B11398"/>
    <w:pPr>
      <w:spacing w:line="216" w:lineRule="auto"/>
      <w:ind w:left="357" w:hanging="357"/>
    </w:pPr>
  </w:style>
  <w:style w:type="paragraph" w:customStyle="1" w:styleId="Aufzhlungszeichen21">
    <w:name w:val="Aufzählungszeichen 21"/>
    <w:basedOn w:val="Standard"/>
    <w:rsid w:val="0081053B"/>
    <w:pPr>
      <w:numPr>
        <w:numId w:val="2"/>
      </w:numPr>
    </w:pPr>
  </w:style>
  <w:style w:type="paragraph" w:styleId="Listenabsatz">
    <w:name w:val="List Paragraph"/>
    <w:basedOn w:val="Standard"/>
    <w:uiPriority w:val="34"/>
    <w:rsid w:val="0081053B"/>
    <w:pPr>
      <w:numPr>
        <w:numId w:val="3"/>
      </w:numPr>
      <w:ind w:left="720"/>
      <w:contextualSpacing/>
    </w:pPr>
  </w:style>
  <w:style w:type="paragraph" w:styleId="Sprechblasentext">
    <w:name w:val="Balloon Text"/>
    <w:basedOn w:val="Standard"/>
    <w:link w:val="SprechblasentextZchn"/>
    <w:semiHidden/>
    <w:unhideWhenUsed/>
    <w:rsid w:val="006C444D"/>
    <w:pPr>
      <w:spacing w:before="0" w:after="0" w:line="240" w:lineRule="auto"/>
    </w:pPr>
    <w:rPr>
      <w:rFonts w:ascii="Tahoma" w:hAnsi="Tahoma" w:cs="Tahoma"/>
      <w:sz w:val="16"/>
      <w:szCs w:val="16"/>
    </w:rPr>
  </w:style>
  <w:style w:type="character" w:customStyle="1" w:styleId="SprechblasentextZchn">
    <w:name w:val="Sprechblasentext Zchn"/>
    <w:link w:val="Sprechblasentext"/>
    <w:semiHidden/>
    <w:rsid w:val="006C444D"/>
    <w:rPr>
      <w:rFonts w:ascii="Tahoma" w:hAnsi="Tahoma" w:cs="Tahoma"/>
      <w:sz w:val="16"/>
      <w:szCs w:val="16"/>
    </w:rPr>
  </w:style>
  <w:style w:type="table" w:customStyle="1" w:styleId="TableNormal">
    <w:name w:val="Table Normal"/>
    <w:uiPriority w:val="2"/>
    <w:semiHidden/>
    <w:unhideWhenUsed/>
    <w:qFormat/>
    <w:rsid w:val="00811147"/>
    <w:pPr>
      <w:widowControl w:val="0"/>
      <w:autoSpaceDE w:val="0"/>
      <w:autoSpaceDN w:val="0"/>
    </w:pPr>
    <w:rPr>
      <w:rFonts w:ascii="Times New Roman" w:eastAsia="Times New Roman" w:hAnsi="Times New Roman" w:cs="Times New Roman"/>
      <w:sz w:val="22"/>
      <w:szCs w:val="22"/>
      <w:lang w:val="en-US" w:eastAsia="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811147"/>
    <w:pPr>
      <w:widowControl w:val="0"/>
      <w:autoSpaceDE w:val="0"/>
      <w:autoSpaceDN w:val="0"/>
      <w:spacing w:before="0" w:after="0" w:line="240" w:lineRule="auto"/>
    </w:pPr>
    <w:rPr>
      <w:rFonts w:ascii="Arial" w:hAnsi="Arial"/>
      <w:sz w:val="20"/>
      <w:szCs w:val="20"/>
      <w:lang w:eastAsia="de-DE" w:bidi="de-DE"/>
    </w:rPr>
  </w:style>
  <w:style w:type="character" w:customStyle="1" w:styleId="TextkrperZchn">
    <w:name w:val="Textkörper Zchn"/>
    <w:link w:val="Textkrper"/>
    <w:uiPriority w:val="1"/>
    <w:rsid w:val="00811147"/>
    <w:rPr>
      <w:sz w:val="20"/>
      <w:szCs w:val="20"/>
      <w:lang w:eastAsia="de-DE" w:bidi="de-DE"/>
    </w:rPr>
  </w:style>
  <w:style w:type="paragraph" w:customStyle="1" w:styleId="TableParagraph">
    <w:name w:val="Table Paragraph"/>
    <w:basedOn w:val="Standard"/>
    <w:uiPriority w:val="1"/>
    <w:qFormat/>
    <w:rsid w:val="00811147"/>
    <w:pPr>
      <w:widowControl w:val="0"/>
      <w:autoSpaceDE w:val="0"/>
      <w:autoSpaceDN w:val="0"/>
      <w:spacing w:before="0" w:after="0" w:line="240" w:lineRule="auto"/>
    </w:pPr>
    <w:rPr>
      <w:rFonts w:ascii="Arial" w:hAnsi="Arial"/>
      <w:lang w:eastAsia="de-DE" w:bidi="de-DE"/>
    </w:rPr>
  </w:style>
  <w:style w:type="character" w:customStyle="1" w:styleId="TitelZchn">
    <w:name w:val="Titel Zchn"/>
    <w:link w:val="Titel"/>
    <w:uiPriority w:val="10"/>
    <w:rsid w:val="00530A6E"/>
    <w:rPr>
      <w:b/>
      <w:caps/>
      <w:noProof/>
      <w:sz w:val="44"/>
      <w:szCs w:val="52"/>
      <w:lang w:val="en-US"/>
    </w:rPr>
  </w:style>
  <w:style w:type="paragraph" w:customStyle="1" w:styleId="HL">
    <w:name w:val="HL"/>
    <w:qFormat/>
    <w:rsid w:val="007C083D"/>
    <w:pPr>
      <w:spacing w:before="100" w:beforeAutospacing="1" w:after="240"/>
    </w:pPr>
    <w:rPr>
      <w:b/>
      <w:caps/>
      <w:color w:val="009FE4"/>
      <w:sz w:val="32"/>
      <w:szCs w:val="40"/>
      <w:lang w:eastAsia="en-US" w:bidi="de-DE"/>
    </w:rPr>
  </w:style>
  <w:style w:type="paragraph" w:customStyle="1" w:styleId="UTWGrund">
    <w:name w:val="UTW Grund"/>
    <w:basedOn w:val="Standard"/>
    <w:uiPriority w:val="99"/>
    <w:rsid w:val="00E87F66"/>
    <w:pPr>
      <w:autoSpaceDE w:val="0"/>
      <w:autoSpaceDN w:val="0"/>
      <w:adjustRightInd w:val="0"/>
      <w:spacing w:before="113" w:after="0" w:line="230" w:lineRule="atLeast"/>
      <w:jc w:val="both"/>
      <w:textAlignment w:val="center"/>
    </w:pPr>
    <w:rPr>
      <w:rFonts w:ascii="Calibri Light" w:eastAsiaTheme="minorHAnsi" w:hAnsi="Calibri Light" w:cs="Calibri Light"/>
      <w:color w:val="000000"/>
      <w:sz w:val="19"/>
      <w:szCs w:val="19"/>
    </w:rPr>
  </w:style>
  <w:style w:type="paragraph" w:customStyle="1" w:styleId="Vorspann">
    <w:name w:val="Vorspann"/>
    <w:qFormat/>
    <w:rsid w:val="007C083D"/>
    <w:pPr>
      <w:widowControl w:val="0"/>
      <w:autoSpaceDE w:val="0"/>
      <w:autoSpaceDN w:val="0"/>
      <w:spacing w:after="240"/>
    </w:pPr>
    <w:rPr>
      <w:rFonts w:ascii="Arial Narrow" w:eastAsiaTheme="minorHAnsi" w:hAnsi="Arial Narrow" w:cs="Calibri"/>
      <w:b/>
      <w:bCs/>
      <w:color w:val="000000"/>
      <w:spacing w:val="-2"/>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OM_Medien/OM/VNR/GSA/GSA%202022/GSO%20XX-2022/Vorlagen/Titel_Kategorie_Arbeitstyp.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AF0A2BA-F515-4E77-BDE4-F4F8FD7AF55D}">
  <ds:schemaRefs>
    <ds:schemaRef ds:uri="http://schemas.microsoft.com/sharepoint/v3/contenttype/forms"/>
  </ds:schemaRefs>
</ds:datastoreItem>
</file>

<file path=customXml/itemProps2.xml><?xml version="1.0" encoding="utf-8"?>
<ds:datastoreItem xmlns:ds="http://schemas.openxmlformats.org/officeDocument/2006/customXml" ds:itemID="{4997A65B-62E7-41D1-AD2B-A1B0DB6890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2977B4-CA4C-4D04-8724-67635B1F8B0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Titel_Kategorie_Arbeitstyp.dotx</Template>
  <TotalTime>0</TotalTime>
  <Pages>1</Pages>
  <Words>264</Words>
  <Characters>2239</Characters>
  <Application>Microsoft Office Word</Application>
  <DocSecurity>0</DocSecurity>
  <Lines>44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2022-01-13T11:44:00Z</dcterms:created>
  <dcterms:modified xsi:type="dcterms:W3CDTF">2026-09-12T13:13:00Z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marmil@microsoft.com</vt:lpwstr>
  </property>
  <property fmtid="{D5CDD505-2E9C-101B-9397-08002B2CF9AE}" pid="5" name="MSIP_Label_f42aa342-8706-4288-bd11-ebb85995028c_SetDate">
    <vt:lpwstr>2018-06-29T15:45:29.3289129Z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0x010100DEEA25CC0A0AC24199CDC46C25B8B0BC</vt:lpwstr>
  </property>
</Properties>
</file>