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7620D064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477934" w:rsidRPr="00477934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Organisations-, Aufsichts- und Überwachungspflichten des Arbeitgebers</w:t>
      </w:r>
    </w:p>
    <w:p w14:paraId="0E45CCEB" w14:textId="77777777" w:rsidR="00477934" w:rsidRPr="00477934" w:rsidRDefault="00477934" w:rsidP="00477934"/>
    <w:tbl>
      <w:tblPr>
        <w:tblStyle w:val="Tabellenraster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8500"/>
        <w:gridCol w:w="851"/>
      </w:tblGrid>
      <w:tr w:rsidR="00477934" w:rsidRPr="00495639" w14:paraId="3529F08F" w14:textId="77777777" w:rsidTr="00DB403B">
        <w:trPr>
          <w:trHeight w:val="227"/>
        </w:trPr>
        <w:tc>
          <w:tcPr>
            <w:tcW w:w="9351" w:type="dxa"/>
            <w:gridSpan w:val="2"/>
            <w:shd w:val="clear" w:color="auto" w:fill="0070C0"/>
          </w:tcPr>
          <w:p w14:paraId="56772DEE" w14:textId="682712B2" w:rsidR="00477934" w:rsidRPr="00A532C6" w:rsidRDefault="00477934" w:rsidP="00477934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477934"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  <w:t>Der Arbeitgeber bzw. eine von ihm beauftragte Führungskraft muss …</w:t>
            </w:r>
          </w:p>
        </w:tc>
      </w:tr>
      <w:tr w:rsidR="00C5602E" w:rsidRPr="00B615E3" w14:paraId="4E38753B" w14:textId="77777777" w:rsidTr="00477934">
        <w:trPr>
          <w:trHeight w:val="227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4FE6369" w14:textId="2027867E" w:rsidR="00634FF1" w:rsidRPr="00546305" w:rsidRDefault="00477934" w:rsidP="0047793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7793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… die Aufgabenerledigung der im Unternehmen Beschäftigten mit Bezug zum betrieblichen Arbeits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- </w:t>
            </w:r>
            <w:r w:rsidRPr="0047793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und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Pr="0047793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Gesundheitsschutz regelmäßig überprüfen.</w:t>
            </w:r>
          </w:p>
        </w:tc>
      </w:tr>
      <w:tr w:rsidR="00477934" w:rsidRPr="00B615E3" w14:paraId="77E6B11B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0F242B65" w14:textId="3E6AE4AF" w:rsidR="00477934" w:rsidRPr="00546305" w:rsidRDefault="00477934" w:rsidP="00C5602E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und wie Gefährdungsbeurteilungen abgearbeitet wurden.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58E1C76" w14:textId="198939EE" w:rsidR="00477934" w:rsidRPr="00546305" w:rsidRDefault="00477934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061E0136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7C393562" w14:textId="466FE1B8" w:rsidR="00477934" w:rsidRPr="00546305" w:rsidRDefault="00477934" w:rsidP="004533C6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die Übertragung der Unternehmerpflichten noch aktuell ist.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DE71BAF" w14:textId="34129428" w:rsidR="00477934" w:rsidRPr="00546305" w:rsidRDefault="00477934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446D157F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3B4C91E5" w14:textId="78BCF2B6" w:rsidR="00477934" w:rsidRPr="00546305" w:rsidRDefault="00477934" w:rsidP="004533C6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eine gesetzeskonforme Arbeitsschutzorganisation besteht.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016C414" w14:textId="42E659CC" w:rsidR="00477934" w:rsidRPr="00546305" w:rsidRDefault="00477934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512C654E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0D96FF1C" w14:textId="314C413E" w:rsidR="00477934" w:rsidRPr="00546305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derjenige, dem die Pflichten übertragen worden sind, auch die erforderlichen Kenntnisse und Fähigkeiten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besitzt, um den übertragenen Pflichten nachzukommen.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B907D86" w14:textId="4EA35BC6" w:rsidR="00477934" w:rsidRPr="00546305" w:rsidRDefault="00477934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6E2E0017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0B46C0A8" w14:textId="56F5AC1F" w:rsidR="00477934" w:rsidRPr="00546305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die Mitarbeiter ihren übertragenen Pflichten und ihrer Verantwortung nachkommen können, insbesondere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im Hinblick auf Überlastung oder häufiges Fehlverhalten.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FC831DE" w14:textId="09220058" w:rsidR="00477934" w:rsidRPr="00546305" w:rsidRDefault="00477934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748253BF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13559974" w14:textId="68B6625D" w:rsidR="00477934" w:rsidRPr="00477934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die von ihm gestaltete Arbeitsschutzorganisation wirksam ist und die festgelegten Ziele erreicht werden.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Dafür ist eine regelmäßige Überprüfung der Funktion und des Erfolgs der geschaffenen Strukturen erforderlich.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5ECB255" w14:textId="65876842" w:rsidR="00477934" w:rsidRPr="00546305" w:rsidRDefault="00477934" w:rsidP="0047793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6BFF6195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1CA7D2B3" w14:textId="69D55C33" w:rsidR="00477934" w:rsidRPr="00477934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für Schwangere und Stillende die Gefährdungsbeurteilungen nach dem Mutterschutzgesetz durchgeführt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werden/wurden.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4ADCA4" w14:textId="16B7AC1B" w:rsidR="00477934" w:rsidRPr="00546305" w:rsidRDefault="00477934" w:rsidP="0047793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26FD1E12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0EB798AA" w14:textId="12D39E6B" w:rsidR="00477934" w:rsidRPr="00477934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alle Mitarbeiter mindestens einmal jährlich zur Arbeitssicherheit und zum Gesundheitsschutz unterwiesen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werden und wie die Dokumentation geführt wird.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468792A" w14:textId="1F525284" w:rsidR="00477934" w:rsidRPr="00546305" w:rsidRDefault="00477934" w:rsidP="0047793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68015430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32E9E0D6" w14:textId="4576BC38" w:rsidR="00477934" w:rsidRPr="00477934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welche Aus- und Fortbildungen zum Arbeits- und Gesundheitsschutz durchlaufen wurden und wann Auffrischungen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erforderlich sind.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6342AA" w14:textId="3434491A" w:rsidR="00477934" w:rsidRPr="00546305" w:rsidRDefault="00477934" w:rsidP="0047793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15B2276B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2629D96F" w14:textId="13BC4CA6" w:rsidR="00477934" w:rsidRPr="00477934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die Unterweisung der Fremdfirmenmitarbeiter und die Rückmeldung bezüglich der Sicherheitsrichtlinien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aktuell und vollständig sind.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E874015" w14:textId="54E5384B" w:rsidR="00477934" w:rsidRPr="00546305" w:rsidRDefault="00477934" w:rsidP="0047793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5EDC5D73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501F5A51" w14:textId="1199D8EF" w:rsidR="00477934" w:rsidRPr="00477934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das Gefahrstoffverzeichnis vollständig ist.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DD8BD20" w14:textId="78AD8AE1" w:rsidR="00477934" w:rsidRPr="00546305" w:rsidRDefault="00477934" w:rsidP="0047793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14B64277" w14:textId="77777777" w:rsidTr="00477934">
        <w:trPr>
          <w:trHeight w:val="227"/>
        </w:trPr>
        <w:tc>
          <w:tcPr>
            <w:tcW w:w="9351" w:type="dxa"/>
            <w:gridSpan w:val="2"/>
            <w:shd w:val="clear" w:color="auto" w:fill="95B3D7" w:themeFill="accent1" w:themeFillTint="99"/>
          </w:tcPr>
          <w:p w14:paraId="15CA80A7" w14:textId="0F0963B0" w:rsidR="00477934" w:rsidRPr="00546305" w:rsidRDefault="00477934" w:rsidP="0047793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779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… die Umsetzung der sich aus den Gefährdungsbeurteilungen abgeleiteten Schutzmaßnahmen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Pr="004779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überwachen.</w:t>
            </w:r>
          </w:p>
        </w:tc>
      </w:tr>
      <w:tr w:rsidR="00477934" w:rsidRPr="00B615E3" w14:paraId="2B3FF7E0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31BF0CD5" w14:textId="421BEB92" w:rsidR="00477934" w:rsidRPr="00477934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welche Maßnahmen aus Gefährdungsbeurteilungen abgeleitet wurden, wie der Umsetzungsstand ist und ob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diese wirksam sind.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95C0BDE" w14:textId="4EF2D0E7" w:rsidR="00477934" w:rsidRPr="00546305" w:rsidRDefault="00477934" w:rsidP="0047793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4CCDDAC5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77D93140" w14:textId="7611CE5C" w:rsidR="00477934" w:rsidRPr="00477934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bei Arbeitsstättenbegehungen festgestellte Mängel abgestellt worden sind.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435983" w14:textId="54450C2D" w:rsidR="00477934" w:rsidRPr="00546305" w:rsidRDefault="00477934" w:rsidP="0047793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3CDAC3EE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5AD579BB" w14:textId="22EE0E7D" w:rsidR="00477934" w:rsidRPr="00477934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die beschlossenen Maßnahmen aufgrund von Beinaheunfällen, Unfällen etc. umgesetzt worden sind.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AABD36C" w14:textId="77F10784" w:rsidR="00477934" w:rsidRPr="00546305" w:rsidRDefault="00477934" w:rsidP="0047793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44EE6BB1" w14:textId="77777777" w:rsidTr="00477934">
        <w:trPr>
          <w:trHeight w:val="227"/>
        </w:trPr>
        <w:tc>
          <w:tcPr>
            <w:tcW w:w="9351" w:type="dxa"/>
            <w:gridSpan w:val="2"/>
            <w:shd w:val="clear" w:color="auto" w:fill="95B3D7" w:themeFill="accent1" w:themeFillTint="99"/>
          </w:tcPr>
          <w:p w14:paraId="0E1E8C06" w14:textId="573CEB3A" w:rsidR="00477934" w:rsidRPr="00546305" w:rsidRDefault="00477934" w:rsidP="0047793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779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… die Durchführung arbeitsmedizinischer Untersuchungen oder sonstiger arbeitsmedizinischer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Pr="004779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Maßnahmen überwachen.</w:t>
            </w:r>
          </w:p>
        </w:tc>
      </w:tr>
      <w:tr w:rsidR="00477934" w:rsidRPr="00B615E3" w14:paraId="4F957EFB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1D931CEA" w14:textId="0CC8D7D3" w:rsidR="00477934" w:rsidRPr="00477934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(neue) Mitarbeiter einem Arbeitsplatz zugeordnet sind, u. a. zwecks Veranlassung der Vorsorgeuntersuchungen.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FC910C7" w14:textId="53E7D8FC" w:rsidR="00477934" w:rsidRPr="00546305" w:rsidRDefault="00477934" w:rsidP="0047793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1232C6EE" w14:textId="77777777" w:rsidTr="0088560D">
        <w:trPr>
          <w:trHeight w:val="1274"/>
        </w:trPr>
        <w:tc>
          <w:tcPr>
            <w:tcW w:w="8500" w:type="dxa"/>
            <w:shd w:val="clear" w:color="auto" w:fill="auto"/>
          </w:tcPr>
          <w:p w14:paraId="126D1FF9" w14:textId="789927B1" w:rsidR="00477934" w:rsidRPr="00477934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erforderliche Vorsorgeuntersuchungen durch den Betriebsarzt durchgeführt werden.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704C79" w14:textId="007C22E1" w:rsidR="00477934" w:rsidRPr="00546305" w:rsidRDefault="00477934" w:rsidP="0047793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5BB67290" w14:textId="77777777" w:rsidTr="00477934">
        <w:trPr>
          <w:trHeight w:val="227"/>
        </w:trPr>
        <w:tc>
          <w:tcPr>
            <w:tcW w:w="9351" w:type="dxa"/>
            <w:gridSpan w:val="2"/>
            <w:shd w:val="clear" w:color="auto" w:fill="95B3D7" w:themeFill="accent1" w:themeFillTint="99"/>
          </w:tcPr>
          <w:p w14:paraId="2C0BCCA4" w14:textId="4675FC06" w:rsidR="00477934" w:rsidRPr="00546305" w:rsidRDefault="00477934" w:rsidP="0047793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779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lastRenderedPageBreak/>
              <w:t>… die Einhaltung der betrieblichen Vorschriften und (Verhaltens-)Regelungen zum Arbeitsschutz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Pr="004779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sicherstellen.</w:t>
            </w:r>
          </w:p>
        </w:tc>
      </w:tr>
      <w:tr w:rsidR="00477934" w:rsidRPr="00B615E3" w14:paraId="23DFD6D0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155EF4DA" w14:textId="27CDC05D" w:rsidR="00477934" w:rsidRPr="00477934" w:rsidRDefault="00477934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Maßnahmen zur Verhütung von Arbeitsunfällen und Berufskrankheiten sowie arbeitsbedingten Gesundheitsgefahren</w:t>
            </w:r>
            <w:r w:rsidR="0088560D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und für eine wirksame Erste Hilfe durchgeführt werden.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6E3FFF8" w14:textId="17768CE6" w:rsidR="00477934" w:rsidRPr="00546305" w:rsidRDefault="00477934" w:rsidP="0047793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3BF5B438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26FC3B9E" w14:textId="20FE9F86" w:rsidR="00477934" w:rsidRPr="00477934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alle Teile der erforderlichen Gefahrenabwehr organisiert sind (Aufgabenverteilung, Sicherheitsorganisation,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Regelungen etc.).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587F603" w14:textId="3A080CBA" w:rsidR="00477934" w:rsidRPr="00546305" w:rsidRDefault="00477934" w:rsidP="0047793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6DC3B3C6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6614BA3C" w14:textId="3861F500" w:rsidR="00477934" w:rsidRPr="00477934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stichprobenartig prüfen, ob Pflichtenübernehmer (z. B. externe Unternehmen) ihren vereinbarten Pflichten nachkommen.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4398582" w14:textId="0F6A20DE" w:rsidR="00477934" w:rsidRPr="00546305" w:rsidRDefault="00477934" w:rsidP="0047793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1E6552D4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5C4FF6E8" w14:textId="5EE399EE" w:rsidR="00477934" w:rsidRPr="00477934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regelmäßige Arbeitsschutzbesprechungen (insbesondere ASA-Sitzungen) stattfinden.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2C017FF" w14:textId="757BABC1" w:rsidR="00477934" w:rsidRPr="00546305" w:rsidRDefault="00477934" w:rsidP="0047793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6C37FEB8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3E0D0A92" w14:textId="59FBD80D" w:rsidR="00477934" w:rsidRPr="00477934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entsprechend dem Flucht- und Rettungsplan geübt wird und den Beschäftigten bekannt ist, wie sie sich bei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Gefahr in Sicherheit bringen.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55B577C" w14:textId="2478F36A" w:rsidR="00477934" w:rsidRPr="00546305" w:rsidRDefault="00477934" w:rsidP="0047793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6F912F4C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19AFF6B2" w14:textId="01B7362F" w:rsidR="00477934" w:rsidRPr="00477934" w:rsidRDefault="00477934" w:rsidP="0047793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Betriebsanweisungen für ausländische Beschäftigte verständlich sind.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E97C5F0" w14:textId="4F1EFD5A" w:rsidR="00477934" w:rsidRPr="00546305" w:rsidRDefault="00477934" w:rsidP="0047793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5F903A1A" w14:textId="77777777" w:rsidTr="00477934">
        <w:trPr>
          <w:trHeight w:val="227"/>
        </w:trPr>
        <w:tc>
          <w:tcPr>
            <w:tcW w:w="9351" w:type="dxa"/>
            <w:gridSpan w:val="2"/>
            <w:shd w:val="clear" w:color="auto" w:fill="95B3D7" w:themeFill="accent1" w:themeFillTint="99"/>
          </w:tcPr>
          <w:p w14:paraId="07C3047F" w14:textId="49B77C40" w:rsidR="00477934" w:rsidRPr="00546305" w:rsidRDefault="00477934" w:rsidP="0047793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779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… die Durchführung der erforderlichen Prüfungen der Arbeits- und Betriebsmittel sowie überwachungsbedürftiger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Pr="004779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Anlagen überwachen.</w:t>
            </w:r>
          </w:p>
        </w:tc>
      </w:tr>
      <w:tr w:rsidR="0088560D" w:rsidRPr="00B615E3" w14:paraId="0A71EC42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4153AE0E" w14:textId="43190F91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die Prüffristen für überwachungsbedürftige Anlagen gemäß der Betriebssicherheitsverordnung eingehalten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werden.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492088" w14:textId="24C28FD9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88560D" w:rsidRPr="00B615E3" w14:paraId="1156EBC8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02E7C432" w14:textId="75D8C21C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elektrische Anlagen, Betriebsmittel und Geräte gemäß der DGUV-Vorschrift 3 in den festgelegten Prüffristen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geprüft werden.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05E6BB6" w14:textId="57153619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88560D" w:rsidRPr="00B615E3" w14:paraId="5A4A27EC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361F66E9" w14:textId="491488EA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ein Plan zur Terminverfolgung von Prüfpflichten existiert.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BBD794" w14:textId="63C934BF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88560D" w:rsidRPr="00B615E3" w14:paraId="67600F98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152112CF" w14:textId="7349A3DC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477934">
              <w:rPr>
                <w:rFonts w:ascii="Arial" w:eastAsiaTheme="minorHAnsi" w:hAnsi="Arial" w:cs="Arial"/>
                <w:sz w:val="24"/>
                <w:szCs w:val="24"/>
              </w:rPr>
              <w:t>… prüfen, ob Prüfungen dokumentiert und die Dokumentation aufbewahrt wird.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0DB47D9" w14:textId="38F97128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77934" w:rsidRPr="00B615E3" w14:paraId="32284FB1" w14:textId="77777777" w:rsidTr="00477934">
        <w:trPr>
          <w:trHeight w:val="227"/>
        </w:trPr>
        <w:tc>
          <w:tcPr>
            <w:tcW w:w="9351" w:type="dxa"/>
            <w:gridSpan w:val="2"/>
            <w:shd w:val="clear" w:color="auto" w:fill="95B3D7" w:themeFill="accent1" w:themeFillTint="99"/>
          </w:tcPr>
          <w:p w14:paraId="5F78A394" w14:textId="36739AF2" w:rsidR="00477934" w:rsidRPr="00546305" w:rsidRDefault="00477934" w:rsidP="0047793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779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… die Funktionsfähigkeit und den ordnungsgemäßen technischen Zustand der eingesetzten sicherheitstechnischen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Pr="004779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Arbeitsmittel, der erforderlichen Schutzeinrichtungen und deren Instandhaltung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Pr="004779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sowie der eingesetzten PSA überwachen.</w:t>
            </w:r>
          </w:p>
        </w:tc>
      </w:tr>
      <w:tr w:rsidR="0088560D" w:rsidRPr="00B615E3" w14:paraId="3E05552B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0F97FADD" w14:textId="421B6BBA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88560D">
              <w:rPr>
                <w:rFonts w:ascii="Arial" w:eastAsiaTheme="minorHAnsi" w:hAnsi="Arial" w:cs="Arial"/>
                <w:sz w:val="24"/>
                <w:szCs w:val="24"/>
              </w:rPr>
              <w:t>… prüfen, ob ausreichend ausgestattete Erste-Hilfe-Einrichtungen vorhanden sind.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47F985F" w14:textId="5109D1D8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88560D" w:rsidRPr="00B615E3" w14:paraId="0E61208F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3FFAB3AB" w14:textId="460FE13D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88560D">
              <w:rPr>
                <w:rFonts w:ascii="Arial" w:eastAsiaTheme="minorHAnsi" w:hAnsi="Arial" w:cs="Arial"/>
                <w:sz w:val="24"/>
                <w:szCs w:val="24"/>
              </w:rPr>
              <w:t>… prüfen, ob die allgemeinen Hygiene- und Organisationsmaßnahmen beachtet werden.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FCB895B" w14:textId="00C427C9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88560D" w:rsidRPr="00B615E3" w14:paraId="705C91B7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7679CADC" w14:textId="2496358B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88560D">
              <w:rPr>
                <w:rFonts w:ascii="Arial" w:eastAsiaTheme="minorHAnsi" w:hAnsi="Arial" w:cs="Arial"/>
                <w:sz w:val="24"/>
                <w:szCs w:val="24"/>
              </w:rPr>
              <w:t>… prüfen, wie Schutzmaßnahmen mit Fremdfirmen vereinbart und schriftlich festgelegt werden/wurden.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9684645" w14:textId="0036F51C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88560D" w:rsidRPr="00B615E3" w14:paraId="11C812BC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78E8322F" w14:textId="422B32BA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88560D">
              <w:rPr>
                <w:rFonts w:ascii="Arial" w:eastAsiaTheme="minorHAnsi" w:hAnsi="Arial" w:cs="Arial"/>
                <w:sz w:val="24"/>
                <w:szCs w:val="24"/>
              </w:rPr>
              <w:t>… prüfen, ob Flucht- und Rettungswege deutlich erkennbar und dauerhaft gekennzeichnet, leicht zugänglich und ungehindert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8560D">
              <w:rPr>
                <w:rFonts w:ascii="Arial" w:eastAsiaTheme="minorHAnsi" w:hAnsi="Arial" w:cs="Arial"/>
                <w:sz w:val="24"/>
                <w:szCs w:val="24"/>
              </w:rPr>
              <w:t>nutzbar sind.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EDA24F0" w14:textId="5765D14B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88560D" w:rsidRPr="00B615E3" w14:paraId="1BAA64C9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3CE4B251" w14:textId="79CB8CA7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88560D">
              <w:rPr>
                <w:rFonts w:ascii="Arial" w:eastAsiaTheme="minorHAnsi" w:hAnsi="Arial" w:cs="Arial"/>
                <w:sz w:val="24"/>
                <w:szCs w:val="24"/>
              </w:rPr>
              <w:t>… prüfen, ob die sachgerechte Beschaffung, Lagerung und Wartung der PSA gewährleistet ist/wird.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C9999B4" w14:textId="781B1055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88560D" w:rsidRPr="00B615E3" w14:paraId="5DAD0BB0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16D9F381" w14:textId="2630E433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88560D">
              <w:rPr>
                <w:rFonts w:ascii="Arial" w:eastAsiaTheme="minorHAnsi" w:hAnsi="Arial" w:cs="Arial"/>
                <w:sz w:val="24"/>
                <w:szCs w:val="24"/>
              </w:rPr>
              <w:t>… prüfen, ob Feuerlöscher regelmäßig geprüft werden (Dokumentation etc.).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5F50D6" w14:textId="414E7867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88560D" w:rsidRPr="00B615E3" w14:paraId="416A7AFB" w14:textId="77777777" w:rsidTr="0088560D">
        <w:trPr>
          <w:trHeight w:val="227"/>
        </w:trPr>
        <w:tc>
          <w:tcPr>
            <w:tcW w:w="9351" w:type="dxa"/>
            <w:gridSpan w:val="2"/>
            <w:shd w:val="clear" w:color="auto" w:fill="95B3D7" w:themeFill="accent1" w:themeFillTint="99"/>
          </w:tcPr>
          <w:p w14:paraId="79FB86AC" w14:textId="310D98D2" w:rsidR="0088560D" w:rsidRPr="00546305" w:rsidRDefault="0088560D" w:rsidP="0088560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8856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… auf die Einhaltung der für das Unternehmen geltenden Verordnungen und Unfallverhütungsvorschriften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Pr="008856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sowie der sich hieraus ergebenden Verpflichtungen achten.</w:t>
            </w:r>
          </w:p>
        </w:tc>
      </w:tr>
      <w:tr w:rsidR="0088560D" w:rsidRPr="00B615E3" w14:paraId="1A7A29AB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367FC51E" w14:textId="1D1D8856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88560D">
              <w:rPr>
                <w:rFonts w:ascii="Arial" w:eastAsiaTheme="minorHAnsi" w:hAnsi="Arial" w:cs="Arial"/>
                <w:sz w:val="24"/>
                <w:szCs w:val="24"/>
              </w:rPr>
              <w:t>… sicherstellen, dass alle Versicherungsfälle (Arbeitsunfälle, Berufskrankheiten) gemeldet werden.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B9D701" w14:textId="75DB3B3E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88560D" w:rsidRPr="00B615E3" w14:paraId="52D1C516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1834DAC1" w14:textId="4F054293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88560D">
              <w:rPr>
                <w:rFonts w:ascii="Arial" w:eastAsiaTheme="minorHAnsi" w:hAnsi="Arial" w:cs="Arial"/>
                <w:sz w:val="24"/>
                <w:szCs w:val="24"/>
              </w:rPr>
              <w:t>… prüfen, ob nach den neuesten Erkenntnissen, Verordnungen, Unfallverhütungsvorschriften o. Ä. gearbeitet wird.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EB8CE5E" w14:textId="767CA92A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88560D" w:rsidRPr="00B615E3" w14:paraId="0120E95B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3AE6FF1C" w14:textId="5D6F4F40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88560D">
              <w:rPr>
                <w:rFonts w:ascii="Arial" w:eastAsiaTheme="minorHAnsi" w:hAnsi="Arial" w:cs="Arial"/>
                <w:sz w:val="24"/>
                <w:szCs w:val="24"/>
              </w:rPr>
              <w:t>… prüfen, ob die für das Unternehmen erforderlichen Beauftragten bestellt und ausreichend qualifiziert sind und die Zeit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8560D">
              <w:rPr>
                <w:rFonts w:ascii="Arial" w:eastAsiaTheme="minorHAnsi" w:hAnsi="Arial" w:cs="Arial"/>
                <w:sz w:val="24"/>
                <w:szCs w:val="24"/>
              </w:rPr>
              <w:t>dafür haben, ihren Verpflichtungen nachzukommen.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AD5A4D2" w14:textId="2772A2FA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88560D" w:rsidRPr="00B615E3" w14:paraId="6E81C3CD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56A0066D" w14:textId="5F028030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88560D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… überprüfen, ob Arbeitsmittel vor allem den arbeitsschutz- und sicherheitstechnischen Anforderungen entsprechen.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4236FB8" w14:textId="73E307E4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88560D" w:rsidRPr="00B615E3" w14:paraId="40E7BA5C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431BCD0B" w14:textId="17C6D6AB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88560D">
              <w:rPr>
                <w:rFonts w:ascii="Arial" w:eastAsiaTheme="minorHAnsi" w:hAnsi="Arial" w:cs="Arial"/>
                <w:sz w:val="24"/>
                <w:szCs w:val="24"/>
              </w:rPr>
              <w:t>… prüfen, ob Arbeitsmittel den geltenden arbeitsschutz- und sicherheitstechnischen Anforderungen entsprechen.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C95FBC0" w14:textId="5D1DE9D1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88560D" w:rsidRPr="00B615E3" w14:paraId="653CD511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306C231A" w14:textId="6F6FF077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88560D">
              <w:rPr>
                <w:rFonts w:ascii="Arial" w:eastAsiaTheme="minorHAnsi" w:hAnsi="Arial" w:cs="Arial"/>
                <w:sz w:val="24"/>
                <w:szCs w:val="24"/>
              </w:rPr>
              <w:t>… prüfen, ob relevante Vorschriften und Regelwerke im Unternehmen vorliegen.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F8B7CBB" w14:textId="5F9FEDC3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88560D" w:rsidRPr="00B615E3" w14:paraId="297272A9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1D6F9908" w14:textId="0B707ED7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88560D">
              <w:rPr>
                <w:rFonts w:ascii="Arial" w:eastAsiaTheme="minorHAnsi" w:hAnsi="Arial" w:cs="Arial"/>
                <w:sz w:val="24"/>
                <w:szCs w:val="24"/>
              </w:rPr>
              <w:t>… prüfen, ob der Schutz besonderer Personengruppen (falls vorhanden: Jugendliche, werdende/stillende Mütter, Schwerbehinderte)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88560D">
              <w:rPr>
                <w:rFonts w:ascii="Arial" w:eastAsiaTheme="minorHAnsi" w:hAnsi="Arial" w:cs="Arial"/>
                <w:sz w:val="24"/>
                <w:szCs w:val="24"/>
              </w:rPr>
              <w:t>gewährleistet ist.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D4E8C8A" w14:textId="15712ED4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88560D" w:rsidRPr="00B615E3" w14:paraId="5836982F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1C2C1F35" w14:textId="5CD3785B" w:rsidR="0088560D" w:rsidRPr="00477934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88560D">
              <w:rPr>
                <w:rFonts w:ascii="Arial" w:eastAsiaTheme="minorHAnsi" w:hAnsi="Arial" w:cs="Arial"/>
                <w:sz w:val="24"/>
                <w:szCs w:val="24"/>
              </w:rPr>
              <w:t>… prüfen, ob aushangpflichtige Informationen den Beschäftigten zugänglich sind.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3B6004E" w14:textId="321E3E74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88560D" w:rsidRPr="00B615E3" w14:paraId="29C255F3" w14:textId="77777777" w:rsidTr="00477934">
        <w:trPr>
          <w:trHeight w:val="227"/>
        </w:trPr>
        <w:tc>
          <w:tcPr>
            <w:tcW w:w="8500" w:type="dxa"/>
            <w:shd w:val="clear" w:color="auto" w:fill="auto"/>
          </w:tcPr>
          <w:p w14:paraId="6E5C42A9" w14:textId="0D165145" w:rsidR="0088560D" w:rsidRPr="0088560D" w:rsidRDefault="0088560D" w:rsidP="0088560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88560D">
              <w:rPr>
                <w:rFonts w:ascii="Arial" w:eastAsiaTheme="minorHAnsi" w:hAnsi="Arial" w:cs="Arial"/>
                <w:sz w:val="24"/>
                <w:szCs w:val="24"/>
              </w:rPr>
              <w:t>… sich berichten lassen, wie der Einsatz von Fremdfirmen abgelaufen ist und wo Verbesserungspotenziale bestehen.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4764F05" w14:textId="4D4EADE6" w:rsidR="0088560D" w:rsidRPr="00546305" w:rsidRDefault="0088560D" w:rsidP="0088560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47D2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536EC" w14:textId="77777777" w:rsidR="009E1E37" w:rsidRDefault="009E1E37" w:rsidP="0024604F">
      <w:r>
        <w:separator/>
      </w:r>
    </w:p>
  </w:endnote>
  <w:endnote w:type="continuationSeparator" w:id="0">
    <w:p w14:paraId="21BEBEBB" w14:textId="77777777" w:rsidR="009E1E37" w:rsidRDefault="009E1E37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7F9E0244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477934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SafetyXperts, Arbeitssicherheit &amp; Gesundheitsschutz aktuell, </w:t>
    </w:r>
    <w:r w:rsidR="00477934">
      <w:rPr>
        <w:rFonts w:asciiTheme="majorHAnsi" w:hAnsiTheme="majorHAnsi" w:cstheme="majorHAnsi"/>
        <w:sz w:val="18"/>
        <w:lang w:bidi="de-DE"/>
      </w:rPr>
      <w:t xml:space="preserve">Dr. </w:t>
    </w:r>
    <w:r w:rsidR="00477934" w:rsidRPr="00477934">
      <w:rPr>
        <w:rFonts w:asciiTheme="majorHAnsi" w:hAnsiTheme="majorHAnsi" w:cstheme="majorHAnsi"/>
        <w:sz w:val="18"/>
        <w:lang w:bidi="de-DE"/>
      </w:rPr>
      <w:t xml:space="preserve">Mikko </w:t>
    </w:r>
    <w:proofErr w:type="spellStart"/>
    <w:r w:rsidR="00477934" w:rsidRPr="00477934">
      <w:rPr>
        <w:rFonts w:asciiTheme="majorHAnsi" w:hAnsiTheme="majorHAnsi" w:cstheme="majorHAnsi"/>
        <w:sz w:val="18"/>
        <w:lang w:bidi="de-DE"/>
      </w:rPr>
      <w:t>Börkircher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96593" w14:textId="77777777" w:rsidR="009E1E37" w:rsidRDefault="009E1E37" w:rsidP="0024604F">
      <w:r>
        <w:separator/>
      </w:r>
    </w:p>
  </w:footnote>
  <w:footnote w:type="continuationSeparator" w:id="0">
    <w:p w14:paraId="56A231A2" w14:textId="77777777" w:rsidR="009E1E37" w:rsidRDefault="009E1E37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414620580">
    <w:abstractNumId w:val="10"/>
  </w:num>
  <w:num w:numId="2" w16cid:durableId="94980764">
    <w:abstractNumId w:val="7"/>
  </w:num>
  <w:num w:numId="3" w16cid:durableId="1703702947">
    <w:abstractNumId w:val="8"/>
  </w:num>
  <w:num w:numId="4" w16cid:durableId="970987199">
    <w:abstractNumId w:val="4"/>
  </w:num>
  <w:num w:numId="5" w16cid:durableId="76291172">
    <w:abstractNumId w:val="1"/>
  </w:num>
  <w:num w:numId="6" w16cid:durableId="1885437001">
    <w:abstractNumId w:val="2"/>
  </w:num>
  <w:num w:numId="7" w16cid:durableId="88040572">
    <w:abstractNumId w:val="0"/>
  </w:num>
  <w:num w:numId="8" w16cid:durableId="332732344">
    <w:abstractNumId w:val="3"/>
  </w:num>
  <w:num w:numId="9" w16cid:durableId="1417290473">
    <w:abstractNumId w:val="5"/>
  </w:num>
  <w:num w:numId="10" w16cid:durableId="1458333982">
    <w:abstractNumId w:val="9"/>
  </w:num>
  <w:num w:numId="11" w16cid:durableId="506403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45BC"/>
    <w:rsid w:val="00117266"/>
    <w:rsid w:val="001217BB"/>
    <w:rsid w:val="001321AB"/>
    <w:rsid w:val="001815DA"/>
    <w:rsid w:val="001B0888"/>
    <w:rsid w:val="001D31B5"/>
    <w:rsid w:val="001D7030"/>
    <w:rsid w:val="001E3A69"/>
    <w:rsid w:val="001E6365"/>
    <w:rsid w:val="00221FB4"/>
    <w:rsid w:val="0024604F"/>
    <w:rsid w:val="002B078F"/>
    <w:rsid w:val="002F24A5"/>
    <w:rsid w:val="0032735C"/>
    <w:rsid w:val="00357E28"/>
    <w:rsid w:val="003860A5"/>
    <w:rsid w:val="003C31F8"/>
    <w:rsid w:val="003C4BF3"/>
    <w:rsid w:val="003F737C"/>
    <w:rsid w:val="00415B40"/>
    <w:rsid w:val="00433C88"/>
    <w:rsid w:val="00446387"/>
    <w:rsid w:val="00450D24"/>
    <w:rsid w:val="004533C6"/>
    <w:rsid w:val="004608C0"/>
    <w:rsid w:val="00477934"/>
    <w:rsid w:val="004B27EB"/>
    <w:rsid w:val="004B3DE3"/>
    <w:rsid w:val="00546305"/>
    <w:rsid w:val="0063142E"/>
    <w:rsid w:val="00634FF1"/>
    <w:rsid w:val="00703947"/>
    <w:rsid w:val="0076766C"/>
    <w:rsid w:val="007B7114"/>
    <w:rsid w:val="007E1048"/>
    <w:rsid w:val="00821B51"/>
    <w:rsid w:val="00844F44"/>
    <w:rsid w:val="0088560D"/>
    <w:rsid w:val="008A13F6"/>
    <w:rsid w:val="008C71F4"/>
    <w:rsid w:val="008E4191"/>
    <w:rsid w:val="00967C29"/>
    <w:rsid w:val="009E1E37"/>
    <w:rsid w:val="009E66C3"/>
    <w:rsid w:val="009F2539"/>
    <w:rsid w:val="00B45D36"/>
    <w:rsid w:val="00B615E3"/>
    <w:rsid w:val="00B929AC"/>
    <w:rsid w:val="00B94A7D"/>
    <w:rsid w:val="00BC66CB"/>
    <w:rsid w:val="00BD233E"/>
    <w:rsid w:val="00C03BC5"/>
    <w:rsid w:val="00C24040"/>
    <w:rsid w:val="00C377EB"/>
    <w:rsid w:val="00C53075"/>
    <w:rsid w:val="00C5602E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45CBC"/>
    <w:rsid w:val="00E60D79"/>
    <w:rsid w:val="00EB19A2"/>
    <w:rsid w:val="00F00668"/>
    <w:rsid w:val="00F55BD0"/>
    <w:rsid w:val="00F90B0C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3</cp:revision>
  <dcterms:created xsi:type="dcterms:W3CDTF">2026-07-07T11:21:00Z</dcterms:created>
  <dcterms:modified xsi:type="dcterms:W3CDTF">2026-07-07T11:34:00Z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