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1A864BFE" w:rsidR="00C53075" w:rsidRDefault="000631C0" w:rsidP="00BB4C6D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="00BB4C6D" w:rsidRPr="00BB4C6D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Stolper- und Sturzgefahren</w:t>
      </w:r>
      <w:r w:rsidR="00BB4C6D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BB4C6D" w:rsidRPr="00BB4C6D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bei </w:t>
      </w:r>
      <w:r w:rsidR="00BB4C6D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br/>
      </w:r>
      <w:r w:rsidR="00BB4C6D" w:rsidRPr="00BB4C6D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Bauarbeiten</w:t>
      </w:r>
    </w:p>
    <w:p w14:paraId="75E8D410" w14:textId="221CA8E2" w:rsidR="00BB4C6D" w:rsidRPr="00BB4C6D" w:rsidRDefault="00BB4C6D" w:rsidP="00BB4C6D">
      <w:pPr>
        <w:rPr>
          <w:rFonts w:ascii="Arial" w:hAnsi="Arial" w:cs="Arial"/>
          <w:b/>
          <w:bCs/>
        </w:rPr>
      </w:pPr>
      <w:r w:rsidRPr="00BB4C6D">
        <w:rPr>
          <w:rFonts w:ascii="Arial" w:hAnsi="Arial" w:cs="Arial"/>
          <w:b/>
          <w:bCs/>
        </w:rPr>
        <w:t>Rund ein Viertel aller Arbeitsunfälle sind Stolper- und Sturzunfälle. Besonders gefährdet sind Beschäftigte auf Baustellen,</w:t>
      </w:r>
      <w:r w:rsidRPr="00BB4C6D">
        <w:rPr>
          <w:rFonts w:ascii="Arial" w:hAnsi="Arial" w:cs="Arial"/>
          <w:b/>
          <w:bCs/>
        </w:rPr>
        <w:t xml:space="preserve"> </w:t>
      </w:r>
      <w:r w:rsidRPr="00BB4C6D">
        <w:rPr>
          <w:rFonts w:ascii="Arial" w:hAnsi="Arial" w:cs="Arial"/>
          <w:b/>
          <w:bCs/>
        </w:rPr>
        <w:t>wo häufiges Improvisieren – entweder aus Nachlässigkeit oder wegen mangelnder Organisation – an der Tagesordnung ist:</w:t>
      </w:r>
      <w:r w:rsidRPr="00BB4C6D">
        <w:rPr>
          <w:rFonts w:ascii="Arial" w:hAnsi="Arial" w:cs="Arial"/>
          <w:b/>
          <w:bCs/>
        </w:rPr>
        <w:t xml:space="preserve"> </w:t>
      </w:r>
      <w:r w:rsidRPr="00BB4C6D">
        <w:rPr>
          <w:rFonts w:ascii="Arial" w:hAnsi="Arial" w:cs="Arial"/>
          <w:b/>
          <w:bCs/>
        </w:rPr>
        <w:t>Oft finden sich dort z. B. defekte Aufstiege, um die sich niemand kümmert, Material ist so abgelegt, dass der Nächste darüber</w:t>
      </w:r>
      <w:r w:rsidRPr="00BB4C6D">
        <w:rPr>
          <w:rFonts w:ascii="Arial" w:hAnsi="Arial" w:cs="Arial"/>
          <w:b/>
          <w:bCs/>
        </w:rPr>
        <w:t xml:space="preserve"> </w:t>
      </w:r>
      <w:r w:rsidRPr="00BB4C6D">
        <w:rPr>
          <w:rFonts w:ascii="Arial" w:hAnsi="Arial" w:cs="Arial"/>
          <w:b/>
          <w:bCs/>
        </w:rPr>
        <w:t>stolpern kann, Bodenöffnungen werden nicht beseitigt oder gekennzeichnet etc. Prüfen Sie darum bei allen Bauarbeiten,</w:t>
      </w:r>
      <w:r w:rsidRPr="00BB4C6D">
        <w:rPr>
          <w:rFonts w:ascii="Arial" w:hAnsi="Arial" w:cs="Arial"/>
          <w:b/>
          <w:bCs/>
        </w:rPr>
        <w:t xml:space="preserve"> </w:t>
      </w:r>
      <w:r w:rsidRPr="00BB4C6D">
        <w:rPr>
          <w:rFonts w:ascii="Arial" w:hAnsi="Arial" w:cs="Arial"/>
          <w:b/>
          <w:bCs/>
        </w:rPr>
        <w:t>ob die nötigen Schutzvorkehrungen gegen Unfallgefahren dieser Art umgesetzt sind – mit dieser Checkliste vergessen</w:t>
      </w:r>
      <w:r w:rsidRPr="00BB4C6D">
        <w:rPr>
          <w:rFonts w:ascii="Arial" w:hAnsi="Arial" w:cs="Arial"/>
          <w:b/>
          <w:bCs/>
        </w:rPr>
        <w:t xml:space="preserve"> </w:t>
      </w:r>
      <w:r w:rsidRPr="00BB4C6D">
        <w:rPr>
          <w:rFonts w:ascii="Arial" w:hAnsi="Arial" w:cs="Arial"/>
          <w:b/>
          <w:bCs/>
        </w:rPr>
        <w:t>Sie dabei nichts Wichtiges.</w:t>
      </w:r>
    </w:p>
    <w:p w14:paraId="294A69EA" w14:textId="77777777" w:rsidR="00BB4C6D" w:rsidRPr="00BB4C6D" w:rsidRDefault="00BB4C6D" w:rsidP="00BB4C6D"/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634FF1" w:rsidRPr="00495639" w14:paraId="3529F08F" w14:textId="77777777" w:rsidTr="00BB4C6D">
        <w:trPr>
          <w:trHeight w:val="549"/>
        </w:trPr>
        <w:tc>
          <w:tcPr>
            <w:tcW w:w="7905" w:type="dxa"/>
            <w:gridSpan w:val="2"/>
            <w:shd w:val="clear" w:color="auto" w:fill="0070C0"/>
          </w:tcPr>
          <w:p w14:paraId="36FAB1E7" w14:textId="30CB98AC" w:rsidR="00634FF1" w:rsidRPr="00BB4C6D" w:rsidRDefault="00BB4C6D" w:rsidP="00BB4C6D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BB4C6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Checkliste: Stolper- und Sturzgefahren bei Bauarbeiten erkennen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und vorbeugen</w:t>
            </w: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0DBBC27A" w:rsidR="00634FF1" w:rsidRPr="00546305" w:rsidRDefault="00BB4C6D" w:rsidP="004533C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B4C6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Bauliche Sicherheitsvorkehrungen</w:t>
            </w:r>
          </w:p>
        </w:tc>
      </w:tr>
      <w:tr w:rsidR="00C5602E" w:rsidRPr="00B615E3" w14:paraId="77E6B11B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634FF1" w:rsidRPr="00546305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  <w:shd w:val="clear" w:color="auto" w:fill="auto"/>
          </w:tcPr>
          <w:p w14:paraId="0F242B65" w14:textId="294012C1" w:rsidR="00634FF1" w:rsidRPr="00546305" w:rsidRDefault="00BB4C6D" w:rsidP="00BB4C6D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Werden bei Arbeiten mit Absturzgefahren ausreichende Sicherheitsmaßnahmen eingehalten (Seiten-,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Anseilschutz, Fanggerüste)?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061E0136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  <w:shd w:val="clear" w:color="auto" w:fill="auto"/>
          </w:tcPr>
          <w:p w14:paraId="7C393562" w14:textId="72679FB0" w:rsidR="00634FF1" w:rsidRPr="00546305" w:rsidRDefault="00BB4C6D" w:rsidP="00BB4C6D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Bauteile, die vom Auflager abrutschen können, und Flächen mit Durchtrittsgefahren durch geeignete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Maßnahmen gesichert?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  <w:shd w:val="clear" w:color="auto" w:fill="auto"/>
          </w:tcPr>
          <w:p w14:paraId="3B4C91E5" w14:textId="19A4F1E5" w:rsidR="00634FF1" w:rsidRPr="00546305" w:rsidRDefault="00BB4C6D" w:rsidP="00BB4C6D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Werden gefährliche Bodenunebenheiten und kleinere Bodenöffnungen immer sofort geschlossen oder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abgeschrankt?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512C654E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43" w:type="dxa"/>
            <w:shd w:val="clear" w:color="auto" w:fill="auto"/>
          </w:tcPr>
          <w:p w14:paraId="0D96FF1C" w14:textId="7B6B2FD7" w:rsidR="003C31F8" w:rsidRPr="00546305" w:rsidRDefault="00BB4C6D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alle temporären Verkehrswege auf den Baustellen (Gerüste, Leitern) sicherheitsgerecht ausgeführt?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B46C0A8" w14:textId="345480B2" w:rsidR="003C31F8" w:rsidRPr="00546305" w:rsidRDefault="00BB4C6D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Werden beim Erstellen von temporären Wegen die Witterungsverhältnisse berücksichtigt (Wind, Regen, Schnee)?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2A5F0D87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57201CBE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1D14792A" w14:textId="246FC544" w:rsidR="003C31F8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Kabel, Leitungen und Schläuche so geführt, dass sie nicht auf Verkehrswegen liegen oder – wenn dies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nicht möglich ist – mindestens gut sichtbar gekennzeichnet und geschützt sind?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3FF62168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608E456B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7396610" w14:textId="187A9FA5" w:rsidR="003C31F8" w:rsidRPr="00546305" w:rsidRDefault="00BB4C6D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Haben alle Treppen auf der Baustelle einen Seitenschutz?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7C54601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15EDE8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0EC3FD2" w14:textId="7BC68B7E" w:rsidR="003C31F8" w:rsidRPr="00546305" w:rsidRDefault="00BB4C6D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 xml:space="preserve">Sind alle Arbeitsplätze </w:t>
            </w:r>
            <w:proofErr w:type="gramStart"/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soweit</w:t>
            </w:r>
            <w:proofErr w:type="gramEnd"/>
            <w:r w:rsidRPr="00BB4C6D">
              <w:rPr>
                <w:rFonts w:ascii="Arial" w:eastAsiaTheme="minorHAnsi" w:hAnsi="Arial" w:cs="Arial"/>
                <w:sz w:val="24"/>
                <w:szCs w:val="24"/>
              </w:rPr>
              <w:t xml:space="preserve"> wie möglich über sichere Zugänge erreichbar (z. B. über Treppen statt Leitern)?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5602E" w:rsidRPr="00B615E3" w14:paraId="4ED08720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7EF6ECF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AF48D96" w14:textId="6478C68D" w:rsidR="003C31F8" w:rsidRPr="00546305" w:rsidRDefault="00BB4C6D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die Gehwege und die Zugänge jederzeit frei von Hindernissen?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5602E" w:rsidRPr="00B615E3" w14:paraId="6BE45330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4D1A1925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46ED4E64" w14:textId="37EDC13A" w:rsidR="003C31F8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 xml:space="preserve">Sind die Einrichtungen zum Überbrücken von Niveauunterschieden trittsicher und rutschfest (z. B. mit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Q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uerstreben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versehen)?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19E34650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216C05AF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CE8C676" w14:textId="6C0A1424" w:rsidR="003C31F8" w:rsidRPr="00546305" w:rsidRDefault="00BB4C6D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Können alle Gehwege auf der Baustelle auch bei Dunkelheit sicher begangen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7BA00A6F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0C8E7FF3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5A4EDE1D" w14:textId="725DC81E" w:rsidR="003C31F8" w:rsidRPr="00546305" w:rsidRDefault="00BB4C6D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alle Arbeitsplätze und Verkehrswege auf der Baustelle angemessen beleuchtet?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BB4C6D" w:rsidRPr="00B615E3" w14:paraId="7427F536" w14:textId="77777777" w:rsidTr="00BB4C6D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6E5422A" w14:textId="2364A87D" w:rsidR="00BB4C6D" w:rsidRPr="00BB4C6D" w:rsidRDefault="00BB4C6D" w:rsidP="00BB4C6D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Organisatorische Maßnahmen</w:t>
            </w:r>
          </w:p>
        </w:tc>
      </w:tr>
      <w:tr w:rsidR="00C5602E" w:rsidRPr="00B615E3" w14:paraId="690436BA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1C5E34FB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721EB210" w14:textId="422E6CAE" w:rsidR="003C31F8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Werden Gerüste erst benutzt, wenn sie vom Ersteller auf der Baustelle geprüft und freigegeben worden sind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(Übergabeprotokolle)?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533C6" w:rsidRPr="00B615E3" w14:paraId="6BD93522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20518E77" w14:textId="3A04E1BC" w:rsidR="004533C6" w:rsidRPr="00546305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73D33F39" w14:textId="13688B3B" w:rsidR="004533C6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Werden Gerüste nach potenziell schadensauslösenden Ereignissen, die ihre Sicherheit beeinträchtigen können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(z. B. Sturm), vor der erneuten Benutzung durch eine befähigte Person (des Gerüsterstellers) geprüft?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2D5F4D" w14:textId="109BE79C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ADCE8A" w14:textId="48110C7C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533C6" w:rsidRPr="00B615E3" w14:paraId="50A16D15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5070B0B7" w14:textId="37BEB6F9" w:rsidR="004533C6" w:rsidRPr="00546305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E3848C1" w14:textId="012C7000" w:rsidR="004533C6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Werden Anlegeleitern nur für Arbeiten eines geringen Umfangs (maximal 2 Stunden) verwendet, bei denen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keine Werkzeuge oder Materialien von mehr als 10 kg Gesamtgewicht mitgeführt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4BD9A6" w14:textId="5118CF75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E97E5D" w14:textId="3FDB9040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533C6" w:rsidRPr="00B615E3" w14:paraId="3EA3F325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32742AC1" w14:textId="45A90B52" w:rsidR="004533C6" w:rsidRPr="00546305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D9901F6" w14:textId="5AF2F526" w:rsidR="004533C6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Werden alle Beschäftigten vor der Arbeitsaufnahme über Stolper- und Sturzgefahren sowie die Maßnahmen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zur Vermeidung dieser Gefahren unterwiesen?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1ECF7A8" w14:textId="6539AB6F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E5D833" w14:textId="7072A666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533C6" w:rsidRPr="00B615E3" w14:paraId="144FAC85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3A56CA62" w:rsidR="004533C6" w:rsidRPr="00546305" w:rsidRDefault="001D7030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17</w:t>
            </w:r>
            <w:r w:rsidR="004533C6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4A92D57" w14:textId="7A14D728" w:rsidR="004533C6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Ist auf der Baustelle ein Verantwortlicher (z. B. Sicherheitsbeauftragter) für die Kontrolle und Instandhaltung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der Verkehrswege und Zugänge benannt?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3D133B" w14:textId="5BF811E9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533C6" w:rsidRPr="00B615E3" w14:paraId="3FEF1634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61E53501" w:rsidR="004533C6" w:rsidRPr="00546305" w:rsidRDefault="001D7030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18</w:t>
            </w:r>
            <w:r w:rsidR="004533C6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D284420" w14:textId="46D78C42" w:rsidR="004533C6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die Beschäftigten angewiesen, in den Verkehrswegen keine Gegenstände (Werkzeug, Kabelrollen) zu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lagern oder sie auch nur für kurze Zeit dort abzulegen?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CA4EAC" w14:textId="1C28F09E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533C6" w:rsidRPr="00B615E3" w14:paraId="29F6E79D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3141556C" w14:textId="440D0EA5" w:rsidR="004533C6" w:rsidRPr="00546305" w:rsidRDefault="001D7030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19</w:t>
            </w:r>
            <w:r w:rsidR="004533C6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3276F098" w14:textId="3D58D8CA" w:rsidR="004533C6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die Beschäftigten angewiesen, Stolperfallen und ähnliche Gefahrenstellen (z. B. wackelige Geländer,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schadhafte Leitern) sofort ihrem Vorgesetzten zu melden?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F8C153" w14:textId="0456367A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1D5948" w14:textId="7A74A256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BB4C6D" w:rsidRPr="00B615E3" w14:paraId="6C68F099" w14:textId="77777777" w:rsidTr="00BB4C6D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38CB5AD8" w14:textId="4A157D36" w:rsidR="00BB4C6D" w:rsidRPr="00546305" w:rsidRDefault="00BB4C6D" w:rsidP="00BB4C6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B4C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Persönliche Schutzausrüstungen</w:t>
            </w:r>
          </w:p>
        </w:tc>
      </w:tr>
      <w:tr w:rsidR="001B0888" w:rsidRPr="00B615E3" w14:paraId="416A2276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490E2994" w14:textId="1630FFE2" w:rsidR="001B0888" w:rsidRPr="00546305" w:rsidRDefault="001B0888" w:rsidP="001B088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7343" w:type="dxa"/>
            <w:shd w:val="clear" w:color="auto" w:fill="auto"/>
          </w:tcPr>
          <w:p w14:paraId="3F5DF85E" w14:textId="6F0E9B53" w:rsidR="001B0888" w:rsidRPr="00546305" w:rsidRDefault="00BB4C6D" w:rsidP="00BB4C6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Sind für alle Beschäftigten die notwendigen Persönlichen Schutzausrüstungen in den passenden Größen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vorhanden und sind sie angewiesen, diese ordnungsgemäß zu benutzen?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30E13AE" w14:textId="4BC506A3" w:rsidR="001B0888" w:rsidRPr="00546305" w:rsidRDefault="001B0888" w:rsidP="001B088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15B269" w14:textId="609C6671" w:rsidR="001B0888" w:rsidRPr="00546305" w:rsidRDefault="001B0888" w:rsidP="001B088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0888" w:rsidRPr="00B615E3" w14:paraId="3FBFAAB7" w14:textId="77777777" w:rsidTr="00BB4C6D">
        <w:trPr>
          <w:trHeight w:val="227"/>
        </w:trPr>
        <w:tc>
          <w:tcPr>
            <w:tcW w:w="562" w:type="dxa"/>
            <w:shd w:val="clear" w:color="auto" w:fill="auto"/>
          </w:tcPr>
          <w:p w14:paraId="748A1795" w14:textId="01C73104" w:rsidR="001B0888" w:rsidRPr="00546305" w:rsidRDefault="001B0888" w:rsidP="001B088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21.</w:t>
            </w:r>
          </w:p>
        </w:tc>
        <w:tc>
          <w:tcPr>
            <w:tcW w:w="7343" w:type="dxa"/>
            <w:shd w:val="clear" w:color="auto" w:fill="auto"/>
          </w:tcPr>
          <w:p w14:paraId="70B79448" w14:textId="68623D84" w:rsidR="001B0888" w:rsidRPr="00546305" w:rsidRDefault="00BB4C6D" w:rsidP="001B0888">
            <w:pPr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BB4C6D">
              <w:rPr>
                <w:rFonts w:ascii="Arial" w:eastAsiaTheme="minorHAnsi" w:hAnsi="Arial" w:cs="Arial"/>
                <w:sz w:val="24"/>
                <w:szCs w:val="24"/>
              </w:rPr>
              <w:t>Wird die Einhaltung dieser Anordnung von den Vorgesetzten kontrolliert und ggf. durchgesetzt?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DC07063" w14:textId="085677FF" w:rsidR="001B0888" w:rsidRPr="00546305" w:rsidRDefault="001B0888" w:rsidP="001B088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A464E6" w14:textId="784618E5" w:rsidR="001B0888" w:rsidRPr="00546305" w:rsidRDefault="001B0888" w:rsidP="001B088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 w:rsidSect="00BB4C6D">
      <w:headerReference w:type="default" r:id="rId8"/>
      <w:footerReference w:type="default" r:id="rId9"/>
      <w:type w:val="continuous"/>
      <w:pgSz w:w="11910" w:h="16840"/>
      <w:pgMar w:top="1880" w:right="14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9436A" w14:textId="77777777" w:rsidR="00CE0390" w:rsidRDefault="00CE0390" w:rsidP="0024604F">
      <w:r>
        <w:separator/>
      </w:r>
    </w:p>
  </w:endnote>
  <w:endnote w:type="continuationSeparator" w:id="0">
    <w:p w14:paraId="55CD5DCD" w14:textId="77777777" w:rsidR="00CE0390" w:rsidRDefault="00CE0390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72019D4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B4C6D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6CD74" w14:textId="77777777" w:rsidR="00CE0390" w:rsidRDefault="00CE0390" w:rsidP="0024604F">
      <w:r>
        <w:separator/>
      </w:r>
    </w:p>
  </w:footnote>
  <w:footnote w:type="continuationSeparator" w:id="0">
    <w:p w14:paraId="6254A43D" w14:textId="77777777" w:rsidR="00CE0390" w:rsidRDefault="00CE0390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723222069" name="Grafik 72322206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042169932">
    <w:abstractNumId w:val="10"/>
  </w:num>
  <w:num w:numId="2" w16cid:durableId="1136797095">
    <w:abstractNumId w:val="7"/>
  </w:num>
  <w:num w:numId="3" w16cid:durableId="2088644790">
    <w:abstractNumId w:val="8"/>
  </w:num>
  <w:num w:numId="4" w16cid:durableId="2050832486">
    <w:abstractNumId w:val="4"/>
  </w:num>
  <w:num w:numId="5" w16cid:durableId="1171262997">
    <w:abstractNumId w:val="1"/>
  </w:num>
  <w:num w:numId="6" w16cid:durableId="1108543968">
    <w:abstractNumId w:val="2"/>
  </w:num>
  <w:num w:numId="7" w16cid:durableId="1959099798">
    <w:abstractNumId w:val="0"/>
  </w:num>
  <w:num w:numId="8" w16cid:durableId="800924899">
    <w:abstractNumId w:val="3"/>
  </w:num>
  <w:num w:numId="9" w16cid:durableId="785467430">
    <w:abstractNumId w:val="5"/>
  </w:num>
  <w:num w:numId="10" w16cid:durableId="1321691811">
    <w:abstractNumId w:val="9"/>
  </w:num>
  <w:num w:numId="11" w16cid:durableId="1036851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30740"/>
    <w:rsid w:val="00546305"/>
    <w:rsid w:val="0063142E"/>
    <w:rsid w:val="00634FF1"/>
    <w:rsid w:val="00703947"/>
    <w:rsid w:val="0076766C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B4C6D"/>
    <w:rsid w:val="00BC66CB"/>
    <w:rsid w:val="00BD233E"/>
    <w:rsid w:val="00C03BC5"/>
    <w:rsid w:val="00C24040"/>
    <w:rsid w:val="00C377EB"/>
    <w:rsid w:val="00C53075"/>
    <w:rsid w:val="00C5602E"/>
    <w:rsid w:val="00CC28DD"/>
    <w:rsid w:val="00CE0390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EB517E"/>
    <w:rsid w:val="00F00668"/>
    <w:rsid w:val="00F55BD0"/>
    <w:rsid w:val="00F67AF7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2026-06-12T09:17:00Z</dcterms:created>
  <dcterms:modified xsi:type="dcterms:W3CDTF">2026-06-12T09:26:00Z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