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1BBD2EEA" w:rsidR="00E71F60" w:rsidRDefault="00FC4B40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Psa gegen hitze und uv-Belastung im überblick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5386"/>
      </w:tblGrid>
      <w:tr w:rsidR="00FC4B40" w:rsidRPr="00A70624" w14:paraId="64356FC5" w14:textId="566E6D48" w:rsidTr="00FC4B40">
        <w:tc>
          <w:tcPr>
            <w:tcW w:w="2122" w:type="dxa"/>
          </w:tcPr>
          <w:p w14:paraId="46476076" w14:textId="081D68EB" w:rsidR="00FC4B40" w:rsidRPr="00A70624" w:rsidRDefault="00FC4B40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FrutigerLTStd-Bold" w:eastAsiaTheme="minorHAnsi" w:hAnsi="FrutigerLTStd-Bold" w:cs="FrutigerLTStd-Bold"/>
                <w:b/>
                <w:bCs/>
                <w:sz w:val="20"/>
                <w:szCs w:val="20"/>
              </w:rPr>
              <w:t>Art der PSA</w:t>
            </w:r>
          </w:p>
        </w:tc>
        <w:tc>
          <w:tcPr>
            <w:tcW w:w="2268" w:type="dxa"/>
          </w:tcPr>
          <w:p w14:paraId="2FE145D0" w14:textId="78658B39" w:rsidR="00FC4B40" w:rsidRPr="00BE058F" w:rsidRDefault="00FC4B4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FrutigerLTStd-Bold" w:eastAsiaTheme="minorHAnsi" w:hAnsi="FrutigerLTStd-Bold" w:cs="FrutigerLTStd-Bold"/>
                <w:b/>
                <w:bCs/>
                <w:sz w:val="20"/>
                <w:szCs w:val="20"/>
              </w:rPr>
              <w:t>Wie sie wirkt</w:t>
            </w:r>
          </w:p>
        </w:tc>
        <w:tc>
          <w:tcPr>
            <w:tcW w:w="5386" w:type="dxa"/>
          </w:tcPr>
          <w:p w14:paraId="2000B6D9" w14:textId="496FB693" w:rsidR="00FC4B40" w:rsidRPr="00BE058F" w:rsidRDefault="00FC4B40" w:rsidP="005628E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FrutigerLTStd-Bold" w:eastAsiaTheme="minorHAnsi" w:hAnsi="FrutigerLTStd-Bold" w:cs="FrutigerLTStd-Bold"/>
                <w:b/>
                <w:bCs/>
                <w:sz w:val="20"/>
                <w:szCs w:val="20"/>
              </w:rPr>
              <w:t>Hinweise für Ihre Unterweisung</w:t>
            </w:r>
          </w:p>
        </w:tc>
      </w:tr>
      <w:tr w:rsidR="00FC4B40" w:rsidRPr="00A70624" w14:paraId="115B44A2" w14:textId="2A787C33" w:rsidTr="00FC4B40">
        <w:tc>
          <w:tcPr>
            <w:tcW w:w="2122" w:type="dxa"/>
          </w:tcPr>
          <w:p w14:paraId="35FAE225" w14:textId="77777777" w:rsidR="00FC4B40" w:rsidRDefault="00FC4B40" w:rsidP="00FC4B40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Arbeitskleidung /</w:t>
            </w:r>
          </w:p>
          <w:p w14:paraId="000E7A43" w14:textId="74C27251" w:rsidR="00FC4B40" w:rsidRPr="00A70624" w:rsidRDefault="00FC4B40" w:rsidP="00FC4B40">
            <w:pPr>
              <w:adjustRightInd w:val="0"/>
              <w:spacing w:line="320" w:lineRule="atLeas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UV-Schutzkleidung</w:t>
            </w:r>
          </w:p>
        </w:tc>
        <w:tc>
          <w:tcPr>
            <w:tcW w:w="2268" w:type="dxa"/>
          </w:tcPr>
          <w:p w14:paraId="3AFAAF56" w14:textId="77777777" w:rsidR="00FC4B40" w:rsidRDefault="00FC4B40" w:rsidP="00FC4B40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Lange Kleidung reduziert die Belastung</w:t>
            </w:r>
          </w:p>
          <w:p w14:paraId="3E254C43" w14:textId="77777777" w:rsidR="00FC4B40" w:rsidRDefault="00FC4B40" w:rsidP="00FC4B40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der Haut durch UV-Strahlung, insbesondere</w:t>
            </w:r>
          </w:p>
          <w:p w14:paraId="37EB6DE6" w14:textId="77777777" w:rsidR="00FC4B40" w:rsidRDefault="00FC4B40" w:rsidP="00FC4B40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wenn sie aus speziellem Gewebe</w:t>
            </w:r>
          </w:p>
          <w:p w14:paraId="2B56A828" w14:textId="5DE3D5F0" w:rsidR="00FC4B40" w:rsidRPr="00BE058F" w:rsidRDefault="00FC4B40" w:rsidP="00FC4B40">
            <w:pPr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mit UV-Schutzfaktor besteht.</w:t>
            </w:r>
          </w:p>
        </w:tc>
        <w:tc>
          <w:tcPr>
            <w:tcW w:w="5386" w:type="dxa"/>
          </w:tcPr>
          <w:p w14:paraId="604FA26B" w14:textId="77777777" w:rsidR="00FC4B40" w:rsidRDefault="00FC4B40" w:rsidP="00FC4B40">
            <w:pPr>
              <w:adjustRightInd w:val="0"/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</w:pPr>
            <w:r>
              <w:rPr>
                <w:rFonts w:ascii="ZapfDingbatsITC" w:eastAsia="ZapfDingbatsITC" w:hAnsiTheme="minorHAnsi" w:cs="ZapfDingbatsITC" w:hint="eastAsia"/>
                <w:color w:val="F18300"/>
                <w:sz w:val="16"/>
                <w:szCs w:val="16"/>
              </w:rPr>
              <w:t>■</w:t>
            </w:r>
            <w:r>
              <w:rPr>
                <w:rFonts w:ascii="ZapfDingbatsITC" w:eastAsia="ZapfDingbatsITC" w:hAnsiTheme="minorHAnsi" w:cs="ZapfDingbatsITC"/>
                <w:color w:val="F18300"/>
                <w:sz w:val="16"/>
                <w:szCs w:val="16"/>
              </w:rPr>
              <w:t xml:space="preserve"> </w:t>
            </w: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Möglichst große Hautflächen bedecken.</w:t>
            </w:r>
          </w:p>
          <w:p w14:paraId="6A16C70C" w14:textId="77777777" w:rsidR="00FC4B40" w:rsidRDefault="00FC4B40" w:rsidP="00FC4B40">
            <w:pPr>
              <w:adjustRightInd w:val="0"/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</w:pPr>
            <w:r>
              <w:rPr>
                <w:rFonts w:ascii="ZapfDingbatsITC" w:eastAsia="ZapfDingbatsITC" w:hAnsiTheme="minorHAnsi" w:cs="ZapfDingbatsITC" w:hint="eastAsia"/>
                <w:color w:val="F18300"/>
                <w:sz w:val="16"/>
                <w:szCs w:val="16"/>
              </w:rPr>
              <w:t>■</w:t>
            </w:r>
            <w:r>
              <w:rPr>
                <w:rFonts w:ascii="ZapfDingbatsITC" w:eastAsia="ZapfDingbatsITC" w:hAnsiTheme="minorHAnsi" w:cs="ZapfDingbatsITC"/>
                <w:color w:val="F18300"/>
                <w:sz w:val="16"/>
                <w:szCs w:val="16"/>
              </w:rPr>
              <w:t xml:space="preserve"> </w:t>
            </w: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Helle Kleidung reduziert zusätzlich die Wärmeeinstrahlung.</w:t>
            </w:r>
          </w:p>
          <w:p w14:paraId="53E9F180" w14:textId="06DF11F2" w:rsidR="00FC4B40" w:rsidRPr="00BE058F" w:rsidRDefault="00FC4B40" w:rsidP="00FC4B4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ZapfDingbatsITC" w:eastAsia="ZapfDingbatsITC" w:hAnsiTheme="minorHAnsi" w:cs="ZapfDingbatsITC" w:hint="eastAsia"/>
                <w:color w:val="F18300"/>
                <w:sz w:val="16"/>
                <w:szCs w:val="16"/>
              </w:rPr>
              <w:t>■</w:t>
            </w:r>
            <w:r>
              <w:rPr>
                <w:rFonts w:ascii="ZapfDingbatsITC" w:eastAsia="ZapfDingbatsITC" w:hAnsiTheme="minorHAnsi" w:cs="ZapfDingbatsITC"/>
                <w:color w:val="F18300"/>
                <w:sz w:val="16"/>
                <w:szCs w:val="16"/>
              </w:rPr>
              <w:t xml:space="preserve"> </w:t>
            </w: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Reinigung gemäß Herstellervorgabe.</w:t>
            </w:r>
          </w:p>
        </w:tc>
      </w:tr>
      <w:tr w:rsidR="00FC4B40" w:rsidRPr="00A70624" w14:paraId="3CF3CA6F" w14:textId="49C28836" w:rsidTr="00FC4B40">
        <w:tc>
          <w:tcPr>
            <w:tcW w:w="2122" w:type="dxa"/>
          </w:tcPr>
          <w:p w14:paraId="1F32A4CD" w14:textId="77777777" w:rsidR="00FC4B40" w:rsidRDefault="00FC4B40" w:rsidP="00FC4B40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Sonnencreme</w:t>
            </w:r>
          </w:p>
          <w:p w14:paraId="147F3002" w14:textId="74E90F88" w:rsidR="00FC4B40" w:rsidRPr="00A70624" w:rsidRDefault="00FC4B40" w:rsidP="00FC4B40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(LSF 30–50)</w:t>
            </w:r>
          </w:p>
        </w:tc>
        <w:tc>
          <w:tcPr>
            <w:tcW w:w="2268" w:type="dxa"/>
          </w:tcPr>
          <w:p w14:paraId="7745B234" w14:textId="77777777" w:rsidR="00FC4B40" w:rsidRDefault="00FC4B40" w:rsidP="00FC4B40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Schützt unbedeckte Haut vor UVA- und</w:t>
            </w:r>
          </w:p>
          <w:p w14:paraId="0EEC8A8A" w14:textId="47D26296" w:rsidR="00FC4B40" w:rsidRPr="00BE058F" w:rsidRDefault="00FC4B40" w:rsidP="00FC4B40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UVB-Strahlung.</w:t>
            </w:r>
          </w:p>
        </w:tc>
        <w:tc>
          <w:tcPr>
            <w:tcW w:w="5386" w:type="dxa"/>
          </w:tcPr>
          <w:p w14:paraId="7A1882E3" w14:textId="77777777" w:rsidR="00FC4B40" w:rsidRDefault="00FC4B40" w:rsidP="00FC4B40">
            <w:pPr>
              <w:adjustRightInd w:val="0"/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</w:pPr>
            <w:r>
              <w:rPr>
                <w:rFonts w:ascii="ZapfDingbatsITC" w:eastAsia="ZapfDingbatsITC" w:hAnsiTheme="minorHAnsi" w:cs="ZapfDingbatsITC" w:hint="eastAsia"/>
                <w:color w:val="F18300"/>
                <w:sz w:val="16"/>
                <w:szCs w:val="16"/>
              </w:rPr>
              <w:t>■</w:t>
            </w:r>
            <w:r>
              <w:rPr>
                <w:rFonts w:ascii="ZapfDingbatsITC" w:eastAsia="ZapfDingbatsITC" w:hAnsiTheme="minorHAnsi" w:cs="ZapfDingbatsITC"/>
                <w:color w:val="F18300"/>
                <w:sz w:val="16"/>
                <w:szCs w:val="16"/>
              </w:rPr>
              <w:t xml:space="preserve"> </w:t>
            </w: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Ca. 20–30 Minuten vor Arbeitsbeginn auftragen.</w:t>
            </w:r>
          </w:p>
          <w:p w14:paraId="1962421E" w14:textId="77777777" w:rsidR="00FC4B40" w:rsidRDefault="00FC4B40" w:rsidP="00FC4B40">
            <w:pPr>
              <w:adjustRightInd w:val="0"/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</w:pPr>
            <w:r>
              <w:rPr>
                <w:rFonts w:ascii="ZapfDingbatsITC" w:eastAsia="ZapfDingbatsITC" w:hAnsiTheme="minorHAnsi" w:cs="ZapfDingbatsITC" w:hint="eastAsia"/>
                <w:color w:val="F18300"/>
                <w:sz w:val="16"/>
                <w:szCs w:val="16"/>
              </w:rPr>
              <w:t>■</w:t>
            </w:r>
            <w:r>
              <w:rPr>
                <w:rFonts w:ascii="ZapfDingbatsITC" w:eastAsia="ZapfDingbatsITC" w:hAnsiTheme="minorHAnsi" w:cs="ZapfDingbatsITC"/>
                <w:color w:val="F18300"/>
                <w:sz w:val="16"/>
                <w:szCs w:val="16"/>
              </w:rPr>
              <w:t xml:space="preserve"> </w:t>
            </w: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Alle 2 Stunden erneuern – besonders nach starkem</w:t>
            </w:r>
          </w:p>
          <w:p w14:paraId="722E6D36" w14:textId="698F31EB" w:rsidR="00FC4B40" w:rsidRPr="00BE058F" w:rsidRDefault="00FC4B40" w:rsidP="00FC4B4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Schwitzen.</w:t>
            </w:r>
          </w:p>
        </w:tc>
      </w:tr>
      <w:tr w:rsidR="00FC4B40" w:rsidRPr="00A70624" w14:paraId="6A6B8A95" w14:textId="0EFD9FA9" w:rsidTr="00FC4B40">
        <w:tc>
          <w:tcPr>
            <w:tcW w:w="2122" w:type="dxa"/>
          </w:tcPr>
          <w:p w14:paraId="2A53F57D" w14:textId="743EF312" w:rsidR="00FC4B40" w:rsidRPr="00A70624" w:rsidRDefault="00FC4B40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Kühlwesten</w:t>
            </w:r>
          </w:p>
        </w:tc>
        <w:tc>
          <w:tcPr>
            <w:tcW w:w="2268" w:type="dxa"/>
          </w:tcPr>
          <w:p w14:paraId="0F906A62" w14:textId="77777777" w:rsidR="00FC4B40" w:rsidRDefault="00FC4B40" w:rsidP="00FC4B40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Nehmen Körperwärme auf und verlangsamen</w:t>
            </w:r>
          </w:p>
          <w:p w14:paraId="324DE0F5" w14:textId="77777777" w:rsidR="00FC4B40" w:rsidRDefault="00FC4B40" w:rsidP="00FC4B40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das Aufheizen des Körpers, z. B.</w:t>
            </w:r>
          </w:p>
          <w:p w14:paraId="0613714A" w14:textId="70BBE90C" w:rsidR="00FC4B40" w:rsidRPr="00BE058F" w:rsidRDefault="00FC4B40" w:rsidP="00FC4B40">
            <w:pPr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durch Kühlpacks oder Verdunstungsvorgänge.</w:t>
            </w:r>
          </w:p>
        </w:tc>
        <w:tc>
          <w:tcPr>
            <w:tcW w:w="5386" w:type="dxa"/>
          </w:tcPr>
          <w:p w14:paraId="3234FC38" w14:textId="77777777" w:rsidR="00FC4B40" w:rsidRDefault="00FC4B40" w:rsidP="00FC4B40">
            <w:pPr>
              <w:adjustRightInd w:val="0"/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</w:pPr>
            <w:r>
              <w:rPr>
                <w:rFonts w:ascii="ZapfDingbatsITC" w:eastAsia="ZapfDingbatsITC" w:hAnsiTheme="minorHAnsi" w:cs="ZapfDingbatsITC" w:hint="eastAsia"/>
                <w:color w:val="F18300"/>
                <w:sz w:val="16"/>
                <w:szCs w:val="16"/>
              </w:rPr>
              <w:t>■</w:t>
            </w:r>
            <w:r>
              <w:rPr>
                <w:rFonts w:ascii="ZapfDingbatsITC" w:eastAsia="ZapfDingbatsITC" w:hAnsiTheme="minorHAnsi" w:cs="ZapfDingbatsITC"/>
                <w:color w:val="F18300"/>
                <w:sz w:val="16"/>
                <w:szCs w:val="16"/>
              </w:rPr>
              <w:t xml:space="preserve"> </w:t>
            </w: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Frühzeitig anlegen (nicht erst bei Überhitzung).</w:t>
            </w:r>
          </w:p>
          <w:p w14:paraId="35BCB44E" w14:textId="77777777" w:rsidR="00FC4B40" w:rsidRDefault="00FC4B40" w:rsidP="00FC4B40">
            <w:pPr>
              <w:adjustRightInd w:val="0"/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</w:pPr>
            <w:r>
              <w:rPr>
                <w:rFonts w:ascii="ZapfDingbatsITC" w:eastAsia="ZapfDingbatsITC" w:hAnsiTheme="minorHAnsi" w:cs="ZapfDingbatsITC" w:hint="eastAsia"/>
                <w:color w:val="F18300"/>
                <w:sz w:val="16"/>
                <w:szCs w:val="16"/>
              </w:rPr>
              <w:t>■</w:t>
            </w:r>
            <w:r>
              <w:rPr>
                <w:rFonts w:ascii="ZapfDingbatsITC" w:eastAsia="ZapfDingbatsITC" w:hAnsiTheme="minorHAnsi" w:cs="ZapfDingbatsITC"/>
                <w:color w:val="F18300"/>
                <w:sz w:val="16"/>
                <w:szCs w:val="16"/>
              </w:rPr>
              <w:t xml:space="preserve"> </w:t>
            </w: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Kühlpacks regelmäßig wechseln.</w:t>
            </w:r>
          </w:p>
          <w:p w14:paraId="235DE483" w14:textId="77777777" w:rsidR="00FC4B40" w:rsidRDefault="00FC4B40" w:rsidP="00FC4B40">
            <w:pPr>
              <w:adjustRightInd w:val="0"/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</w:pPr>
            <w:r>
              <w:rPr>
                <w:rFonts w:ascii="ZapfDingbatsITC" w:eastAsia="ZapfDingbatsITC" w:hAnsiTheme="minorHAnsi" w:cs="ZapfDingbatsITC" w:hint="eastAsia"/>
                <w:color w:val="F18300"/>
                <w:sz w:val="16"/>
                <w:szCs w:val="16"/>
              </w:rPr>
              <w:t>■</w:t>
            </w:r>
            <w:r>
              <w:rPr>
                <w:rFonts w:ascii="ZapfDingbatsITC" w:eastAsia="ZapfDingbatsITC" w:hAnsiTheme="minorHAnsi" w:cs="ZapfDingbatsITC"/>
                <w:color w:val="F18300"/>
                <w:sz w:val="16"/>
                <w:szCs w:val="16"/>
              </w:rPr>
              <w:t xml:space="preserve"> </w:t>
            </w: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Reinigung gemäß Herstellervorgabe.</w:t>
            </w:r>
          </w:p>
          <w:p w14:paraId="641436B3" w14:textId="77777777" w:rsidR="00FC4B40" w:rsidRDefault="00FC4B40" w:rsidP="00FC4B40">
            <w:pPr>
              <w:adjustRightInd w:val="0"/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</w:pPr>
            <w:r>
              <w:rPr>
                <w:rFonts w:ascii="ZapfDingbatsITC" w:eastAsia="ZapfDingbatsITC" w:hAnsiTheme="minorHAnsi" w:cs="ZapfDingbatsITC" w:hint="eastAsia"/>
                <w:color w:val="F18300"/>
                <w:sz w:val="16"/>
                <w:szCs w:val="16"/>
              </w:rPr>
              <w:t>■</w:t>
            </w:r>
            <w:r>
              <w:rPr>
                <w:rFonts w:ascii="ZapfDingbatsITC" w:eastAsia="ZapfDingbatsITC" w:hAnsiTheme="minorHAnsi" w:cs="ZapfDingbatsITC"/>
                <w:color w:val="F18300"/>
                <w:sz w:val="16"/>
                <w:szCs w:val="16"/>
              </w:rPr>
              <w:t xml:space="preserve"> </w:t>
            </w: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Kompatibilität mit anderer Schutzausrüstung,</w:t>
            </w:r>
          </w:p>
          <w:p w14:paraId="7D84DDCB" w14:textId="76836B4F" w:rsidR="00FC4B40" w:rsidRPr="00BE058F" w:rsidRDefault="00FC4B40" w:rsidP="00FC4B40">
            <w:pPr>
              <w:adjustRightInd w:val="0"/>
              <w:spacing w:line="320" w:lineRule="atLeas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z. B. Warnkleidung, prüfen.</w:t>
            </w:r>
          </w:p>
        </w:tc>
      </w:tr>
      <w:tr w:rsidR="00FC4B40" w:rsidRPr="00A70624" w14:paraId="6104EB45" w14:textId="41F6FB38" w:rsidTr="00FC4B40">
        <w:tc>
          <w:tcPr>
            <w:tcW w:w="2122" w:type="dxa"/>
          </w:tcPr>
          <w:p w14:paraId="38E619A8" w14:textId="77777777" w:rsidR="00FC4B40" w:rsidRDefault="00FC4B40" w:rsidP="00FC4B40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Kühlende</w:t>
            </w:r>
          </w:p>
          <w:p w14:paraId="2CA4887C" w14:textId="6E73199F" w:rsidR="00FC4B40" w:rsidRPr="00A70624" w:rsidRDefault="00FC4B40" w:rsidP="00FC4B40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Nackenpads</w:t>
            </w:r>
          </w:p>
        </w:tc>
        <w:tc>
          <w:tcPr>
            <w:tcW w:w="2268" w:type="dxa"/>
          </w:tcPr>
          <w:p w14:paraId="73B6709A" w14:textId="77777777" w:rsidR="00FC4B40" w:rsidRDefault="00FC4B40" w:rsidP="00FC4B40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Kühlen gezielt die Blutgefäße im Nacken</w:t>
            </w:r>
          </w:p>
          <w:p w14:paraId="390AC738" w14:textId="77777777" w:rsidR="00FC4B40" w:rsidRDefault="00FC4B40" w:rsidP="00FC4B40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und unterstützen so die Temperaturregulation</w:t>
            </w:r>
          </w:p>
          <w:p w14:paraId="1BC14872" w14:textId="6D89922C" w:rsidR="00FC4B40" w:rsidRPr="00BE058F" w:rsidRDefault="00FC4B40" w:rsidP="00FC4B40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des Körpers.</w:t>
            </w:r>
          </w:p>
        </w:tc>
        <w:tc>
          <w:tcPr>
            <w:tcW w:w="5386" w:type="dxa"/>
          </w:tcPr>
          <w:p w14:paraId="3E91F998" w14:textId="77777777" w:rsidR="00FC4B40" w:rsidRDefault="00FC4B40" w:rsidP="00FC4B40">
            <w:pPr>
              <w:adjustRightInd w:val="0"/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</w:pPr>
            <w:r>
              <w:rPr>
                <w:rFonts w:ascii="ZapfDingbatsITC" w:eastAsia="ZapfDingbatsITC" w:hAnsiTheme="minorHAnsi" w:cs="ZapfDingbatsITC" w:hint="eastAsia"/>
                <w:color w:val="F18300"/>
                <w:sz w:val="16"/>
                <w:szCs w:val="16"/>
              </w:rPr>
              <w:t>■</w:t>
            </w:r>
            <w:r>
              <w:rPr>
                <w:rFonts w:ascii="ZapfDingbatsITC" w:eastAsia="ZapfDingbatsITC" w:hAnsiTheme="minorHAnsi" w:cs="ZapfDingbatsITC"/>
                <w:color w:val="F18300"/>
                <w:sz w:val="16"/>
                <w:szCs w:val="16"/>
              </w:rPr>
              <w:t xml:space="preserve"> </w:t>
            </w: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Regelmäßig austauschen bzw. nachkühlen.</w:t>
            </w:r>
          </w:p>
          <w:p w14:paraId="05841907" w14:textId="0120FF22" w:rsidR="00FC4B40" w:rsidRPr="00BE058F" w:rsidRDefault="00FC4B40" w:rsidP="00FC4B4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ZapfDingbatsITC" w:eastAsia="ZapfDingbatsITC" w:hAnsiTheme="minorHAnsi" w:cs="ZapfDingbatsITC" w:hint="eastAsia"/>
                <w:color w:val="F18300"/>
                <w:sz w:val="16"/>
                <w:szCs w:val="16"/>
              </w:rPr>
              <w:t>■</w:t>
            </w:r>
            <w:r>
              <w:rPr>
                <w:rFonts w:ascii="ZapfDingbatsITC" w:eastAsia="ZapfDingbatsITC" w:hAnsiTheme="minorHAnsi" w:cs="ZapfDingbatsITC"/>
                <w:color w:val="F18300"/>
                <w:sz w:val="16"/>
                <w:szCs w:val="16"/>
              </w:rPr>
              <w:t xml:space="preserve"> </w:t>
            </w:r>
            <w:r>
              <w:rPr>
                <w:rFonts w:ascii="FrutigerLTStd-Cn" w:eastAsia="ZapfDingbatsITC" w:hAnsi="FrutigerLTStd-Cn" w:cs="FrutigerLTStd-Cn"/>
                <w:color w:val="000000"/>
                <w:sz w:val="20"/>
                <w:szCs w:val="20"/>
              </w:rPr>
              <w:t>Hygiene beachten.</w:t>
            </w:r>
          </w:p>
        </w:tc>
      </w:tr>
    </w:tbl>
    <w:p w14:paraId="2B6B13DE" w14:textId="1641FCB1" w:rsidR="00E71F60" w:rsidRPr="00A70624" w:rsidRDefault="00E71F60" w:rsidP="00E71F60">
      <w:pPr>
        <w:rPr>
          <w:rFonts w:ascii="Arial" w:hAnsi="Arial" w:cs="Arial"/>
          <w:sz w:val="24"/>
          <w:szCs w:val="24"/>
        </w:rPr>
      </w:pPr>
    </w:p>
    <w:p w14:paraId="7C87DA87" w14:textId="3FD99AC1" w:rsidR="005B2196" w:rsidRPr="00A70624" w:rsidRDefault="005B2196" w:rsidP="005F6C78">
      <w:pPr>
        <w:widowControl/>
        <w:adjustRightInd w:val="0"/>
        <w:rPr>
          <w:rFonts w:ascii="Arial" w:hAnsi="Arial" w:cs="Arial"/>
          <w:sz w:val="24"/>
          <w:szCs w:val="24"/>
        </w:rPr>
      </w:pPr>
    </w:p>
    <w:sectPr w:rsidR="005B2196" w:rsidRPr="00A70624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D24B4" w14:textId="77777777" w:rsidR="003A6D92" w:rsidRDefault="003A6D92" w:rsidP="0024604F">
      <w:r>
        <w:separator/>
      </w:r>
    </w:p>
  </w:endnote>
  <w:endnote w:type="continuationSeparator" w:id="0">
    <w:p w14:paraId="6C847312" w14:textId="77777777" w:rsidR="003A6D92" w:rsidRDefault="003A6D92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5C9ED7A1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3A7A82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A29F" w14:textId="77777777" w:rsidR="003A6D92" w:rsidRDefault="003A6D92" w:rsidP="0024604F">
      <w:r>
        <w:separator/>
      </w:r>
    </w:p>
  </w:footnote>
  <w:footnote w:type="continuationSeparator" w:id="0">
    <w:p w14:paraId="67F35006" w14:textId="77777777" w:rsidR="003A6D92" w:rsidRDefault="003A6D92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78"/>
    <w:multiLevelType w:val="hybridMultilevel"/>
    <w:tmpl w:val="50D20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28FF09DA"/>
    <w:multiLevelType w:val="hybridMultilevel"/>
    <w:tmpl w:val="4BA0C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C64E9"/>
    <w:multiLevelType w:val="hybridMultilevel"/>
    <w:tmpl w:val="0D64F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07763"/>
    <w:multiLevelType w:val="hybridMultilevel"/>
    <w:tmpl w:val="D2E05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11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12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abstractNum w:abstractNumId="13" w15:restartNumberingAfterBreak="0">
    <w:nsid w:val="78B63F70"/>
    <w:multiLevelType w:val="hybridMultilevel"/>
    <w:tmpl w:val="16ECC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C7615"/>
    <w:rsid w:val="00120076"/>
    <w:rsid w:val="001217BB"/>
    <w:rsid w:val="001269FF"/>
    <w:rsid w:val="001321AB"/>
    <w:rsid w:val="00174BCB"/>
    <w:rsid w:val="001815DA"/>
    <w:rsid w:val="001D31B5"/>
    <w:rsid w:val="001E3A69"/>
    <w:rsid w:val="001E6365"/>
    <w:rsid w:val="00221FB4"/>
    <w:rsid w:val="00230FF0"/>
    <w:rsid w:val="0024604F"/>
    <w:rsid w:val="002B078F"/>
    <w:rsid w:val="002B6D1B"/>
    <w:rsid w:val="002F24A5"/>
    <w:rsid w:val="0032735C"/>
    <w:rsid w:val="00357E28"/>
    <w:rsid w:val="003860A5"/>
    <w:rsid w:val="003A6D92"/>
    <w:rsid w:val="003A7A82"/>
    <w:rsid w:val="003C4BF3"/>
    <w:rsid w:val="003F737C"/>
    <w:rsid w:val="00401E2B"/>
    <w:rsid w:val="00415B40"/>
    <w:rsid w:val="004163C1"/>
    <w:rsid w:val="00433C88"/>
    <w:rsid w:val="00450D24"/>
    <w:rsid w:val="004608C0"/>
    <w:rsid w:val="004B27EB"/>
    <w:rsid w:val="005B2196"/>
    <w:rsid w:val="005F6C78"/>
    <w:rsid w:val="00604AF5"/>
    <w:rsid w:val="0063142E"/>
    <w:rsid w:val="00634FF1"/>
    <w:rsid w:val="0076766C"/>
    <w:rsid w:val="007B7114"/>
    <w:rsid w:val="007E1048"/>
    <w:rsid w:val="007E5945"/>
    <w:rsid w:val="00821B51"/>
    <w:rsid w:val="00844F44"/>
    <w:rsid w:val="00852771"/>
    <w:rsid w:val="008A13F6"/>
    <w:rsid w:val="008C71F4"/>
    <w:rsid w:val="008E4191"/>
    <w:rsid w:val="008F6208"/>
    <w:rsid w:val="009151EE"/>
    <w:rsid w:val="009B756C"/>
    <w:rsid w:val="009E66C3"/>
    <w:rsid w:val="009F2539"/>
    <w:rsid w:val="00A013B6"/>
    <w:rsid w:val="00A70624"/>
    <w:rsid w:val="00B929AC"/>
    <w:rsid w:val="00B94A7D"/>
    <w:rsid w:val="00BC66CB"/>
    <w:rsid w:val="00BD233E"/>
    <w:rsid w:val="00BE058F"/>
    <w:rsid w:val="00C03BC5"/>
    <w:rsid w:val="00C377EB"/>
    <w:rsid w:val="00C5307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F00668"/>
    <w:rsid w:val="00F55BD0"/>
    <w:rsid w:val="00F650B1"/>
    <w:rsid w:val="00F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930C22-07DE-4D34-840D-B0EDB7DD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975</Characters>
  <Application>Microsoft Office Word</Application>
  <DocSecurity>0</DocSecurity>
  <Lines>32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2026-04-02T11:29:00Z</dcterms:created>
  <dcterms:modified xsi:type="dcterms:W3CDTF">2026-04-02T11:29:00Z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