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FF09" w14:textId="124C01A1" w:rsidR="00530A6E" w:rsidRPr="00EE0086" w:rsidRDefault="00EE0086" w:rsidP="00EE0086">
      <w:pPr>
        <w:pStyle w:val="Titel"/>
        <w:tabs>
          <w:tab w:val="left" w:pos="7020"/>
        </w:tabs>
        <w:spacing w:before="240" w:after="120"/>
        <w:ind w:right="-284"/>
        <w:rPr>
          <w:sz w:val="34"/>
          <w:szCs w:val="34"/>
          <w:lang w:val="de-DE"/>
        </w:rPr>
      </w:pPr>
      <w:r w:rsidRPr="00EE0086">
        <w:rPr>
          <w:color w:val="4A4A4B"/>
          <w:sz w:val="34"/>
          <w:szCs w:val="34"/>
          <w:lang w:val="de-DE" w:bidi="de-DE"/>
        </w:rPr>
        <w:t>Klare Entscheidungen zum richtigen Zeitpunkt – so behalten Sie Gefahrstoffe im Blick</w:t>
      </w:r>
    </w:p>
    <w:p w14:paraId="547E2877" w14:textId="30F762D2" w:rsidR="00EE0086" w:rsidRDefault="00EE0086" w:rsidP="007C083D">
      <w:pPr>
        <w:pStyle w:val="Vorspann"/>
      </w:pPr>
      <w:bookmarkStart w:id="0" w:name="_q8b6blsj00hl" w:colFirst="0" w:colLast="0"/>
      <w:bookmarkEnd w:id="0"/>
      <w:r w:rsidRPr="00EE0086">
        <w:t>Bei Gefahrstoffen sind klare Entscheidungen erforderlich. Nicht später, nicht nebenbei, sondern zum richtigen Zeitpunkt. Mithilfe der folgenden Tabelle können Verantwortlichkeiten, Prüfpunkte und Rechtsbezüge entlang des Gefahrstoff-Lebenszyklus strukturiert erfasst werden. Sie unterstützt Sie dabei, Risiken frühzeitig zu erkennen, Maßnahmen gezielt festzulegen und Entscheidungen nachvollziehbar abzusichern.</w:t>
      </w:r>
    </w:p>
    <w:tbl>
      <w:tblPr>
        <w:tblStyle w:val="TableNormal"/>
        <w:tblW w:w="9260" w:type="dxa"/>
        <w:tblInd w:w="1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84"/>
        <w:gridCol w:w="2578"/>
        <w:gridCol w:w="1581"/>
        <w:gridCol w:w="1700"/>
      </w:tblGrid>
      <w:tr w:rsidR="00E01A3E" w:rsidRPr="00E01A3E" w14:paraId="46382DAA" w14:textId="77777777" w:rsidTr="00E01A3E">
        <w:trPr>
          <w:trHeight w:val="705"/>
        </w:trPr>
        <w:tc>
          <w:tcPr>
            <w:tcW w:w="1417" w:type="dxa"/>
            <w:tcBorders>
              <w:top w:val="nil"/>
              <w:left w:val="nil"/>
            </w:tcBorders>
            <w:shd w:val="clear" w:color="auto" w:fill="4C4D4F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06E34E4D" w14:textId="77777777" w:rsidR="00EE0086" w:rsidRPr="00E01A3E" w:rsidRDefault="00EE0086" w:rsidP="00EE0086">
            <w:pPr>
              <w:pStyle w:val="TableParagraph"/>
              <w:rPr>
                <w:color w:val="FFFFFF" w:themeColor="background1"/>
              </w:rPr>
            </w:pPr>
            <w:r w:rsidRPr="00E01A3E">
              <w:rPr>
                <w:color w:val="FFFFFF" w:themeColor="background1"/>
                <w:spacing w:val="-2"/>
              </w:rPr>
              <w:t>Lebens-</w:t>
            </w:r>
            <w:proofErr w:type="spellStart"/>
            <w:r w:rsidRPr="00E01A3E">
              <w:rPr>
                <w:color w:val="FFFFFF" w:themeColor="background1"/>
              </w:rPr>
              <w:t>zyklusphase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  <w:shd w:val="clear" w:color="auto" w:fill="4C4D4F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593F971E" w14:textId="77777777" w:rsidR="00EE0086" w:rsidRPr="00E01A3E" w:rsidRDefault="00EE0086" w:rsidP="00EE0086">
            <w:pPr>
              <w:pStyle w:val="TableParagraph"/>
              <w:rPr>
                <w:color w:val="FFFFFF" w:themeColor="background1"/>
              </w:rPr>
            </w:pPr>
            <w:r w:rsidRPr="00E01A3E">
              <w:rPr>
                <w:color w:val="FFFFFF" w:themeColor="background1"/>
              </w:rPr>
              <w:t>Ziel</w:t>
            </w:r>
            <w:r w:rsidRPr="00E01A3E">
              <w:rPr>
                <w:color w:val="FFFFFF" w:themeColor="background1"/>
                <w:spacing w:val="-4"/>
              </w:rPr>
              <w:t xml:space="preserve"> </w:t>
            </w:r>
            <w:r w:rsidRPr="00E01A3E">
              <w:rPr>
                <w:color w:val="FFFFFF" w:themeColor="background1"/>
              </w:rPr>
              <w:t>dieser</w:t>
            </w:r>
            <w:r w:rsidRPr="00E01A3E">
              <w:rPr>
                <w:color w:val="FFFFFF" w:themeColor="background1"/>
                <w:spacing w:val="-4"/>
              </w:rPr>
              <w:t xml:space="preserve"> </w:t>
            </w:r>
            <w:r w:rsidRPr="00E01A3E">
              <w:rPr>
                <w:color w:val="FFFFFF" w:themeColor="background1"/>
              </w:rPr>
              <w:t>Phase</w:t>
            </w:r>
          </w:p>
        </w:tc>
        <w:tc>
          <w:tcPr>
            <w:tcW w:w="2578" w:type="dxa"/>
            <w:tcBorders>
              <w:top w:val="nil"/>
            </w:tcBorders>
            <w:shd w:val="clear" w:color="auto" w:fill="4C4D4F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77954E1C" w14:textId="77777777" w:rsidR="00EE0086" w:rsidRPr="00E01A3E" w:rsidRDefault="00EE0086" w:rsidP="00EE0086">
            <w:pPr>
              <w:pStyle w:val="TableParagraph"/>
              <w:rPr>
                <w:color w:val="FFFFFF" w:themeColor="background1"/>
              </w:rPr>
            </w:pPr>
            <w:r w:rsidRPr="00E01A3E">
              <w:rPr>
                <w:color w:val="FFFFFF" w:themeColor="background1"/>
                <w:spacing w:val="-4"/>
              </w:rPr>
              <w:t>Zentrale</w:t>
            </w:r>
            <w:r w:rsidRPr="00E01A3E">
              <w:rPr>
                <w:color w:val="FFFFFF" w:themeColor="background1"/>
                <w:spacing w:val="6"/>
              </w:rPr>
              <w:t xml:space="preserve"> </w:t>
            </w:r>
            <w:r w:rsidRPr="00E01A3E">
              <w:rPr>
                <w:color w:val="FFFFFF" w:themeColor="background1"/>
              </w:rPr>
              <w:t>Prüfpunkte</w:t>
            </w:r>
          </w:p>
        </w:tc>
        <w:tc>
          <w:tcPr>
            <w:tcW w:w="1581" w:type="dxa"/>
            <w:tcBorders>
              <w:top w:val="nil"/>
            </w:tcBorders>
            <w:shd w:val="clear" w:color="auto" w:fill="4C4D4F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35E27DCF" w14:textId="77777777" w:rsidR="00EE0086" w:rsidRPr="00E01A3E" w:rsidRDefault="00EE0086" w:rsidP="00EE0086">
            <w:pPr>
              <w:pStyle w:val="TableParagraph"/>
              <w:rPr>
                <w:color w:val="FFFFFF" w:themeColor="background1"/>
              </w:rPr>
            </w:pPr>
            <w:r w:rsidRPr="00E01A3E">
              <w:rPr>
                <w:color w:val="FFFFFF" w:themeColor="background1"/>
              </w:rPr>
              <w:t>Verantwortung</w:t>
            </w:r>
          </w:p>
        </w:tc>
        <w:tc>
          <w:tcPr>
            <w:tcW w:w="1700" w:type="dxa"/>
            <w:tcBorders>
              <w:top w:val="nil"/>
              <w:right w:val="nil"/>
            </w:tcBorders>
            <w:shd w:val="clear" w:color="auto" w:fill="4C4D4F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4D014EC8" w14:textId="77777777" w:rsidR="00EE0086" w:rsidRPr="00E01A3E" w:rsidRDefault="00EE0086" w:rsidP="00EE0086">
            <w:pPr>
              <w:pStyle w:val="TableParagraph"/>
              <w:rPr>
                <w:color w:val="FFFFFF" w:themeColor="background1"/>
              </w:rPr>
            </w:pPr>
            <w:r w:rsidRPr="00E01A3E">
              <w:rPr>
                <w:color w:val="FFFFFF" w:themeColor="background1"/>
              </w:rPr>
              <w:t xml:space="preserve">Rechtsgrundlage </w:t>
            </w:r>
            <w:r w:rsidRPr="00E01A3E">
              <w:rPr>
                <w:color w:val="FFFFFF" w:themeColor="background1"/>
                <w:spacing w:val="-2"/>
              </w:rPr>
              <w:t>(Auswahl)</w:t>
            </w:r>
          </w:p>
        </w:tc>
      </w:tr>
      <w:tr w:rsidR="00EE0086" w14:paraId="7FB85458" w14:textId="77777777" w:rsidTr="00E01A3E">
        <w:trPr>
          <w:trHeight w:val="1532"/>
        </w:trPr>
        <w:tc>
          <w:tcPr>
            <w:tcW w:w="1417" w:type="dxa"/>
            <w:tcBorders>
              <w:left w:val="nil"/>
            </w:tcBorders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743CB8E2" w14:textId="77777777" w:rsidR="00EE0086" w:rsidRDefault="00EE0086" w:rsidP="00EE0086">
            <w:pPr>
              <w:pStyle w:val="TableParagraph"/>
            </w:pPr>
            <w:proofErr w:type="spellStart"/>
            <w:r>
              <w:t>Beschaffung</w:t>
            </w:r>
            <w:proofErr w:type="spellEnd"/>
          </w:p>
        </w:tc>
        <w:tc>
          <w:tcPr>
            <w:tcW w:w="1984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588DA60B" w14:textId="77777777" w:rsidR="00EE0086" w:rsidRDefault="00EE0086" w:rsidP="00EE0086">
            <w:pPr>
              <w:pStyle w:val="TableParagraph"/>
            </w:pPr>
            <w:r>
              <w:t>Nur geeignete und beherrschbare</w:t>
            </w:r>
            <w:r>
              <w:rPr>
                <w:spacing w:val="-11"/>
              </w:rPr>
              <w:t xml:space="preserve"> </w:t>
            </w:r>
            <w:r>
              <w:t>Stoffe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den Betrieb</w:t>
            </w:r>
            <w:r>
              <w:rPr>
                <w:spacing w:val="-10"/>
              </w:rPr>
              <w:t xml:space="preserve"> </w:t>
            </w:r>
            <w:r>
              <w:t>bringen</w:t>
            </w:r>
          </w:p>
        </w:tc>
        <w:tc>
          <w:tcPr>
            <w:tcW w:w="2578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0D3283D8" w14:textId="50F12143" w:rsidR="00EE0086" w:rsidRPr="00EE0086" w:rsidRDefault="00EE0086" w:rsidP="00EE0086">
            <w:pPr>
              <w:pStyle w:val="TableParagraph"/>
            </w:pPr>
            <w:r w:rsidRPr="00EE0086">
              <w:t>Sicherheitsdatenblatt</w:t>
            </w:r>
            <w:r w:rsidRPr="00EE0086">
              <w:rPr>
                <w:spacing w:val="-8"/>
              </w:rPr>
              <w:t xml:space="preserve"> </w:t>
            </w:r>
            <w:r w:rsidRPr="00EE0086">
              <w:t>fachlich geprüft;</w:t>
            </w:r>
            <w:r w:rsidRPr="00EE0086">
              <w:rPr>
                <w:spacing w:val="-10"/>
              </w:rPr>
              <w:t xml:space="preserve"> </w:t>
            </w:r>
            <w:r w:rsidRPr="00EE0086">
              <w:t>Substitutionsprüfung dokumentiert;</w:t>
            </w:r>
            <w:r w:rsidRPr="00EE0086">
              <w:rPr>
                <w:spacing w:val="-6"/>
              </w:rPr>
              <w:t xml:space="preserve"> </w:t>
            </w:r>
            <w:r w:rsidRPr="00EE0086">
              <w:t>Stoffeigenschaften,</w:t>
            </w:r>
            <w:r w:rsidRPr="00EE0086">
              <w:rPr>
                <w:spacing w:val="-5"/>
              </w:rPr>
              <w:t xml:space="preserve"> z.</w:t>
            </w:r>
            <w:r w:rsidRPr="00EE0086">
              <w:rPr>
                <w:spacing w:val="-5"/>
              </w:rPr>
              <w:t xml:space="preserve"> </w:t>
            </w:r>
            <w:r w:rsidRPr="00EE0086">
              <w:t>B.</w:t>
            </w:r>
            <w:r w:rsidRPr="00EE0086">
              <w:rPr>
                <w:spacing w:val="-11"/>
              </w:rPr>
              <w:t xml:space="preserve"> </w:t>
            </w:r>
            <w:r w:rsidRPr="00EE0086">
              <w:t>Flammpunkt,</w:t>
            </w:r>
            <w:r w:rsidRPr="00EE0086">
              <w:rPr>
                <w:spacing w:val="-10"/>
              </w:rPr>
              <w:t xml:space="preserve"> </w:t>
            </w:r>
            <w:r w:rsidRPr="00EE0086">
              <w:t>Dampfentwicklung bewertet; Entsorgungsweg vorab geklärt</w:t>
            </w:r>
          </w:p>
        </w:tc>
        <w:tc>
          <w:tcPr>
            <w:tcW w:w="1581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65F8BF1F" w14:textId="77777777" w:rsidR="00EE0086" w:rsidRDefault="00EE0086" w:rsidP="00EE0086">
            <w:pPr>
              <w:pStyle w:val="TableParagraph"/>
            </w:pPr>
            <w:r>
              <w:t xml:space="preserve">Einkauf, </w:t>
            </w:r>
            <w:proofErr w:type="spellStart"/>
            <w:r>
              <w:t>Führungskraft</w:t>
            </w:r>
            <w:proofErr w:type="spellEnd"/>
            <w:r>
              <w:t xml:space="preserve">, </w:t>
            </w:r>
            <w:proofErr w:type="spellStart"/>
            <w:r>
              <w:t>Arbeitssicherheit</w:t>
            </w:r>
            <w:proofErr w:type="spellEnd"/>
          </w:p>
        </w:tc>
        <w:tc>
          <w:tcPr>
            <w:tcW w:w="1700" w:type="dxa"/>
            <w:tcBorders>
              <w:right w:val="nil"/>
            </w:tcBorders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12C8F74F" w14:textId="77777777" w:rsidR="00EE0086" w:rsidRDefault="00EE0086" w:rsidP="00EE0086">
            <w:pPr>
              <w:pStyle w:val="TableParagraph"/>
            </w:pPr>
            <w:r>
              <w:t>§§</w:t>
            </w:r>
            <w:r>
              <w:rPr>
                <w:spacing w:val="-5"/>
              </w:rPr>
              <w:t xml:space="preserve"> </w:t>
            </w:r>
            <w:r>
              <w:t>6–7</w:t>
            </w:r>
            <w:r>
              <w:rPr>
                <w:spacing w:val="-5"/>
              </w:rPr>
              <w:t xml:space="preserve"> </w:t>
            </w:r>
            <w:r>
              <w:t>GefStoffV,</w:t>
            </w:r>
          </w:p>
          <w:p w14:paraId="42C44C85" w14:textId="77777777" w:rsidR="00EE0086" w:rsidRDefault="00EE0086" w:rsidP="00EE0086">
            <w:pPr>
              <w:pStyle w:val="TableParagraph"/>
            </w:pPr>
            <w:r>
              <w:t>TRGS</w:t>
            </w:r>
            <w:r>
              <w:rPr>
                <w:spacing w:val="-11"/>
              </w:rPr>
              <w:t xml:space="preserve"> </w:t>
            </w:r>
            <w:r>
              <w:t>400,</w:t>
            </w:r>
            <w:r>
              <w:rPr>
                <w:spacing w:val="-10"/>
              </w:rPr>
              <w:t xml:space="preserve"> </w:t>
            </w:r>
            <w:r>
              <w:t>TRGS</w:t>
            </w:r>
            <w:r>
              <w:rPr>
                <w:spacing w:val="-10"/>
              </w:rPr>
              <w:t xml:space="preserve"> </w:t>
            </w:r>
            <w:r>
              <w:t>600, REACH,</w:t>
            </w:r>
            <w:r>
              <w:rPr>
                <w:spacing w:val="-10"/>
              </w:rPr>
              <w:t xml:space="preserve"> </w:t>
            </w:r>
            <w:r>
              <w:t>CLP</w:t>
            </w:r>
          </w:p>
        </w:tc>
      </w:tr>
      <w:tr w:rsidR="00EE0086" w14:paraId="7383C6ED" w14:textId="77777777" w:rsidTr="00E01A3E">
        <w:trPr>
          <w:trHeight w:val="1082"/>
        </w:trPr>
        <w:tc>
          <w:tcPr>
            <w:tcW w:w="1417" w:type="dxa"/>
            <w:tcBorders>
              <w:left w:val="nil"/>
            </w:tcBorders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5D889F7D" w14:textId="77777777" w:rsidR="00EE0086" w:rsidRDefault="00EE0086" w:rsidP="00EE0086">
            <w:pPr>
              <w:pStyle w:val="TableParagraph"/>
            </w:pPr>
            <w:r>
              <w:t>Anlieferung</w:t>
            </w:r>
            <w:r>
              <w:rPr>
                <w:spacing w:val="-9"/>
              </w:rPr>
              <w:t xml:space="preserve"> </w:t>
            </w:r>
            <w:r>
              <w:t>und Freigabe</w:t>
            </w:r>
          </w:p>
        </w:tc>
        <w:tc>
          <w:tcPr>
            <w:tcW w:w="1984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5D5B716C" w14:textId="77777777" w:rsidR="00EE0086" w:rsidRDefault="00EE0086" w:rsidP="00EE0086">
            <w:pPr>
              <w:pStyle w:val="TableParagraph"/>
            </w:pPr>
            <w:r>
              <w:rPr>
                <w:spacing w:val="-2"/>
              </w:rPr>
              <w:t>Verhindern,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ungeprüfte</w:t>
            </w:r>
            <w:r>
              <w:t xml:space="preserve"> Stoffe eingelagert oder verwendet</w:t>
            </w:r>
            <w:r>
              <w:rPr>
                <w:spacing w:val="-10"/>
              </w:rPr>
              <w:t xml:space="preserve"> </w:t>
            </w:r>
            <w:r>
              <w:t>werden</w:t>
            </w:r>
          </w:p>
        </w:tc>
        <w:tc>
          <w:tcPr>
            <w:tcW w:w="2578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181B3579" w14:textId="77777777" w:rsidR="00EE0086" w:rsidRDefault="00EE0086" w:rsidP="00EE0086">
            <w:pPr>
              <w:pStyle w:val="TableParagraph"/>
            </w:pPr>
            <w:r>
              <w:t>Abgleich</w:t>
            </w:r>
            <w:r>
              <w:rPr>
                <w:spacing w:val="-9"/>
              </w:rPr>
              <w:t xml:space="preserve"> </w:t>
            </w:r>
            <w:r>
              <w:t>Lieferung</w:t>
            </w:r>
            <w:r>
              <w:rPr>
                <w:spacing w:val="-9"/>
              </w:rPr>
              <w:t xml:space="preserve"> </w:t>
            </w:r>
            <w:r>
              <w:t>mit</w:t>
            </w:r>
            <w:r>
              <w:rPr>
                <w:spacing w:val="-9"/>
              </w:rPr>
              <w:t xml:space="preserve"> </w:t>
            </w:r>
            <w:r>
              <w:t xml:space="preserve">geprüftem SDB; </w:t>
            </w:r>
            <w:proofErr w:type="spellStart"/>
            <w:r>
              <w:t>Kennzeichnung</w:t>
            </w:r>
            <w:proofErr w:type="spellEnd"/>
            <w:r>
              <w:t xml:space="preserve"> </w:t>
            </w:r>
            <w:proofErr w:type="spellStart"/>
            <w:r>
              <w:t>korrekt</w:t>
            </w:r>
            <w:proofErr w:type="spellEnd"/>
            <w:r>
              <w:t xml:space="preserve">; </w:t>
            </w:r>
            <w:proofErr w:type="spellStart"/>
            <w:r w:rsidRPr="00EE0086">
              <w:t>Rezepturänderungen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erkannt</w:t>
            </w:r>
            <w:proofErr w:type="spellEnd"/>
            <w:r>
              <w:t xml:space="preserve">; </w:t>
            </w:r>
            <w:proofErr w:type="spellStart"/>
            <w:r>
              <w:t>formale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Freigabe</w:t>
            </w:r>
            <w:proofErr w:type="spellEnd"/>
            <w:r>
              <w:rPr>
                <w:spacing w:val="-10"/>
              </w:rPr>
              <w:t xml:space="preserve"> </w:t>
            </w:r>
            <w:r>
              <w:t>vor</w:t>
            </w:r>
            <w:r>
              <w:rPr>
                <w:spacing w:val="-10"/>
              </w:rPr>
              <w:t xml:space="preserve"> </w:t>
            </w:r>
            <w:r>
              <w:t>Einlagerung</w:t>
            </w:r>
          </w:p>
        </w:tc>
        <w:tc>
          <w:tcPr>
            <w:tcW w:w="1581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66DF1262" w14:textId="6BB0F082" w:rsidR="00EE0086" w:rsidRDefault="00EE0086" w:rsidP="00EE0086">
            <w:pPr>
              <w:pStyle w:val="TableParagraph"/>
            </w:pPr>
            <w:r>
              <w:t xml:space="preserve">Lager, </w:t>
            </w:r>
            <w:proofErr w:type="spellStart"/>
            <w:r>
              <w:t>Arbeits</w:t>
            </w:r>
            <w:r w:rsidR="00CF632A">
              <w:softHyphen/>
            </w:r>
            <w:r>
              <w:t>sicherheit</w:t>
            </w:r>
            <w:proofErr w:type="spellEnd"/>
          </w:p>
        </w:tc>
        <w:tc>
          <w:tcPr>
            <w:tcW w:w="1700" w:type="dxa"/>
            <w:tcBorders>
              <w:right w:val="nil"/>
            </w:tcBorders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16D138FC" w14:textId="77777777" w:rsidR="00EE0086" w:rsidRDefault="00EE0086" w:rsidP="00EE0086">
            <w:pPr>
              <w:pStyle w:val="TableParagraph"/>
            </w:pPr>
            <w:r>
              <w:t>GefStoffV, TRGS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400</w:t>
            </w:r>
          </w:p>
        </w:tc>
      </w:tr>
      <w:tr w:rsidR="00EE0086" w14:paraId="4F060F34" w14:textId="77777777" w:rsidTr="00E01A3E">
        <w:trPr>
          <w:trHeight w:val="1302"/>
        </w:trPr>
        <w:tc>
          <w:tcPr>
            <w:tcW w:w="1417" w:type="dxa"/>
            <w:tcBorders>
              <w:left w:val="nil"/>
            </w:tcBorders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217378D2" w14:textId="77777777" w:rsidR="00EE0086" w:rsidRDefault="00EE0086" w:rsidP="00EE0086">
            <w:pPr>
              <w:pStyle w:val="TableParagraph"/>
            </w:pPr>
            <w:r>
              <w:t>Lagerung</w:t>
            </w:r>
          </w:p>
        </w:tc>
        <w:tc>
          <w:tcPr>
            <w:tcW w:w="1984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65EEDA64" w14:textId="77777777" w:rsidR="00EE0086" w:rsidRDefault="00EE0086" w:rsidP="00EE0086">
            <w:pPr>
              <w:pStyle w:val="TableParagraph"/>
            </w:pPr>
            <w:r>
              <w:t>Gefährdungen</w:t>
            </w:r>
            <w:r>
              <w:rPr>
                <w:spacing w:val="-11"/>
              </w:rPr>
              <w:t xml:space="preserve"> </w:t>
            </w:r>
            <w:r>
              <w:t>durch</w:t>
            </w:r>
            <w:r>
              <w:rPr>
                <w:spacing w:val="-10"/>
              </w:rPr>
              <w:t xml:space="preserve"> </w:t>
            </w:r>
            <w:r>
              <w:t>falsche Aufbewahrung</w:t>
            </w:r>
            <w:r>
              <w:rPr>
                <w:spacing w:val="-10"/>
              </w:rPr>
              <w:t xml:space="preserve"> </w:t>
            </w:r>
            <w:r>
              <w:t>vermeiden</w:t>
            </w:r>
          </w:p>
        </w:tc>
        <w:tc>
          <w:tcPr>
            <w:tcW w:w="2578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1F20E0BF" w14:textId="1A7DA29A" w:rsidR="00EE0086" w:rsidRPr="00711110" w:rsidRDefault="00EE0086" w:rsidP="00711110">
            <w:pPr>
              <w:pStyle w:val="TableParagraph"/>
              <w:rPr>
                <w:lang w:val="de-DE"/>
              </w:rPr>
            </w:pPr>
            <w:r w:rsidRPr="00711110">
              <w:rPr>
                <w:lang w:val="de-DE"/>
              </w:rPr>
              <w:t>Geeignete</w:t>
            </w:r>
            <w:r w:rsidRPr="00711110">
              <w:rPr>
                <w:spacing w:val="-8"/>
                <w:lang w:val="de-DE"/>
              </w:rPr>
              <w:t xml:space="preserve"> </w:t>
            </w:r>
            <w:r w:rsidRPr="00711110">
              <w:rPr>
                <w:lang w:val="de-DE"/>
              </w:rPr>
              <w:t>Lagereinrichtung; Trennung</w:t>
            </w:r>
            <w:r w:rsidRPr="00711110">
              <w:rPr>
                <w:spacing w:val="-10"/>
                <w:lang w:val="de-DE"/>
              </w:rPr>
              <w:t xml:space="preserve"> </w:t>
            </w:r>
            <w:r w:rsidRPr="00711110">
              <w:rPr>
                <w:lang w:val="de-DE"/>
              </w:rPr>
              <w:t>unverträglicher Stoffe;</w:t>
            </w:r>
            <w:r w:rsidRPr="00711110">
              <w:rPr>
                <w:spacing w:val="-11"/>
                <w:lang w:val="de-DE"/>
              </w:rPr>
              <w:t xml:space="preserve"> </w:t>
            </w:r>
            <w:r w:rsidRPr="00711110">
              <w:rPr>
                <w:lang w:val="de-DE"/>
              </w:rPr>
              <w:t>ausreichende</w:t>
            </w:r>
            <w:r w:rsidRPr="00711110">
              <w:rPr>
                <w:spacing w:val="-10"/>
                <w:lang w:val="de-DE"/>
              </w:rPr>
              <w:t xml:space="preserve"> </w:t>
            </w:r>
            <w:r w:rsidRPr="00711110">
              <w:rPr>
                <w:lang w:val="de-DE"/>
              </w:rPr>
              <w:t>Lüftung; Mengengrenzen</w:t>
            </w:r>
            <w:r w:rsidRPr="00711110">
              <w:rPr>
                <w:spacing w:val="-6"/>
                <w:lang w:val="de-DE"/>
              </w:rPr>
              <w:t xml:space="preserve"> </w:t>
            </w:r>
            <w:r w:rsidRPr="00711110">
              <w:rPr>
                <w:spacing w:val="-2"/>
                <w:lang w:val="de-DE"/>
              </w:rPr>
              <w:t>eingehalten;</w:t>
            </w:r>
            <w:r w:rsidR="00711110" w:rsidRPr="00711110">
              <w:rPr>
                <w:spacing w:val="-2"/>
                <w:lang w:val="de-DE"/>
              </w:rPr>
              <w:t xml:space="preserve"> </w:t>
            </w:r>
            <w:r w:rsidRPr="00711110">
              <w:rPr>
                <w:lang w:val="de-DE"/>
              </w:rPr>
              <w:t>Gefahrstoffverzeichnis</w:t>
            </w:r>
            <w:r w:rsidRPr="00711110">
              <w:rPr>
                <w:spacing w:val="26"/>
                <w:lang w:val="de-DE"/>
              </w:rPr>
              <w:t xml:space="preserve"> </w:t>
            </w:r>
            <w:r w:rsidRPr="00711110">
              <w:rPr>
                <w:lang w:val="de-DE"/>
              </w:rPr>
              <w:t>aktualisiert</w:t>
            </w:r>
          </w:p>
        </w:tc>
        <w:tc>
          <w:tcPr>
            <w:tcW w:w="1581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4B5ACBAA" w14:textId="77777777" w:rsidR="00EE0086" w:rsidRDefault="00EE0086" w:rsidP="00EE0086">
            <w:pPr>
              <w:pStyle w:val="TableParagraph"/>
            </w:pPr>
            <w:proofErr w:type="spellStart"/>
            <w:r>
              <w:t>Lagerverantwortliche</w:t>
            </w:r>
            <w:proofErr w:type="spellEnd"/>
            <w:r>
              <w:t xml:space="preserve">, </w:t>
            </w:r>
            <w:proofErr w:type="spellStart"/>
            <w:r>
              <w:t>Führungskraft</w:t>
            </w:r>
            <w:proofErr w:type="spellEnd"/>
          </w:p>
        </w:tc>
        <w:tc>
          <w:tcPr>
            <w:tcW w:w="1700" w:type="dxa"/>
            <w:tcBorders>
              <w:right w:val="nil"/>
            </w:tcBorders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75440F26" w14:textId="77777777" w:rsidR="00EE0086" w:rsidRDefault="00EE0086" w:rsidP="00EE0086">
            <w:pPr>
              <w:pStyle w:val="TableParagraph"/>
            </w:pPr>
            <w:r>
              <w:t>TRGS</w:t>
            </w:r>
            <w:r>
              <w:rPr>
                <w:spacing w:val="-5"/>
              </w:rPr>
              <w:t xml:space="preserve"> </w:t>
            </w:r>
            <w:r>
              <w:t>510,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GefStoffV</w:t>
            </w:r>
          </w:p>
        </w:tc>
      </w:tr>
      <w:tr w:rsidR="00EE0086" w14:paraId="4AF1D87E" w14:textId="77777777" w:rsidTr="00E01A3E">
        <w:trPr>
          <w:trHeight w:val="1302"/>
        </w:trPr>
        <w:tc>
          <w:tcPr>
            <w:tcW w:w="1417" w:type="dxa"/>
            <w:tcBorders>
              <w:left w:val="nil"/>
            </w:tcBorders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36821508" w14:textId="77777777" w:rsidR="00EE0086" w:rsidRDefault="00EE0086" w:rsidP="00EE0086">
            <w:pPr>
              <w:pStyle w:val="TableParagraph"/>
            </w:pPr>
            <w:r>
              <w:t>Verwendung</w:t>
            </w:r>
          </w:p>
        </w:tc>
        <w:tc>
          <w:tcPr>
            <w:tcW w:w="1984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376DB743" w14:textId="77777777" w:rsidR="00EE0086" w:rsidRDefault="00EE0086" w:rsidP="00EE0086">
            <w:pPr>
              <w:pStyle w:val="TableParagraph"/>
            </w:pPr>
            <w:r>
              <w:t>Exposition</w:t>
            </w:r>
            <w:r>
              <w:rPr>
                <w:spacing w:val="-8"/>
              </w:rPr>
              <w:t xml:space="preserve"> </w:t>
            </w:r>
            <w:r>
              <w:t>wirksam begrenzen</w:t>
            </w:r>
            <w:r>
              <w:rPr>
                <w:spacing w:val="-11"/>
              </w:rPr>
              <w:t xml:space="preserve"> </w:t>
            </w:r>
            <w:r>
              <w:t>und</w:t>
            </w:r>
            <w:r>
              <w:rPr>
                <w:spacing w:val="-10"/>
              </w:rPr>
              <w:t xml:space="preserve"> </w:t>
            </w:r>
            <w:r>
              <w:t>Prozesse sicher</w:t>
            </w:r>
            <w:r>
              <w:rPr>
                <w:spacing w:val="-8"/>
              </w:rPr>
              <w:t xml:space="preserve"> </w:t>
            </w:r>
            <w:r>
              <w:t>betreiben</w:t>
            </w:r>
          </w:p>
        </w:tc>
        <w:tc>
          <w:tcPr>
            <w:tcW w:w="2578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071C59A3" w14:textId="7E07977F" w:rsidR="00EE0086" w:rsidRPr="00E01A3E" w:rsidRDefault="00EE0086" w:rsidP="00EE0086">
            <w:pPr>
              <w:pStyle w:val="TableParagraph"/>
              <w:rPr>
                <w:lang w:val="de-DE"/>
              </w:rPr>
            </w:pPr>
            <w:r w:rsidRPr="00E01A3E">
              <w:rPr>
                <w:lang w:val="de-DE"/>
              </w:rPr>
              <w:t>Gefährdungsbeurteilung</w:t>
            </w:r>
            <w:r w:rsidRPr="00E01A3E">
              <w:rPr>
                <w:spacing w:val="-8"/>
                <w:lang w:val="de-DE"/>
              </w:rPr>
              <w:t xml:space="preserve"> </w:t>
            </w:r>
            <w:r w:rsidRPr="00E01A3E">
              <w:rPr>
                <w:lang w:val="de-DE"/>
              </w:rPr>
              <w:t xml:space="preserve">aktuell; AGW bewertet; technische Schutzmaßnahmen wirksam; PSA festgelegt; </w:t>
            </w:r>
            <w:r w:rsidR="00CF632A" w:rsidRPr="00E01A3E">
              <w:rPr>
                <w:lang w:val="de-DE"/>
              </w:rPr>
              <w:softHyphen/>
            </w:r>
            <w:r w:rsidRPr="00E01A3E">
              <w:rPr>
                <w:lang w:val="de-DE"/>
              </w:rPr>
              <w:t xml:space="preserve">Unterweisung erfolgt; </w:t>
            </w:r>
            <w:r w:rsidRPr="00E01A3E">
              <w:rPr>
                <w:spacing w:val="-2"/>
                <w:lang w:val="de-DE"/>
              </w:rPr>
              <w:t>Wirksamkeitskontrollen</w:t>
            </w:r>
            <w:r w:rsidRPr="00E01A3E">
              <w:rPr>
                <w:spacing w:val="-8"/>
                <w:lang w:val="de-DE"/>
              </w:rPr>
              <w:t xml:space="preserve"> </w:t>
            </w:r>
            <w:r w:rsidRPr="00E01A3E">
              <w:rPr>
                <w:spacing w:val="-2"/>
                <w:lang w:val="de-DE"/>
              </w:rPr>
              <w:t>dokumentiert</w:t>
            </w:r>
          </w:p>
        </w:tc>
        <w:tc>
          <w:tcPr>
            <w:tcW w:w="1581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65A782F3" w14:textId="77777777" w:rsidR="00EE0086" w:rsidRDefault="00EE0086" w:rsidP="00EE0086">
            <w:pPr>
              <w:pStyle w:val="TableParagraph"/>
            </w:pPr>
            <w:proofErr w:type="spellStart"/>
            <w:r>
              <w:t>Führungskraft</w:t>
            </w:r>
            <w:proofErr w:type="spellEnd"/>
            <w:r>
              <w:t xml:space="preserve">, </w:t>
            </w:r>
            <w:proofErr w:type="spellStart"/>
            <w:r>
              <w:t>Arbeitssicherheit</w:t>
            </w:r>
            <w:proofErr w:type="spellEnd"/>
          </w:p>
        </w:tc>
        <w:tc>
          <w:tcPr>
            <w:tcW w:w="1700" w:type="dxa"/>
            <w:tcBorders>
              <w:right w:val="nil"/>
            </w:tcBorders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6657A214" w14:textId="77777777" w:rsidR="00EE0086" w:rsidRDefault="00EE0086" w:rsidP="00EE0086">
            <w:pPr>
              <w:pStyle w:val="TableParagraph"/>
            </w:pPr>
            <w:r>
              <w:t>§</w:t>
            </w:r>
            <w:r>
              <w:rPr>
                <w:spacing w:val="-9"/>
              </w:rPr>
              <w:t xml:space="preserve"> </w:t>
            </w:r>
            <w:r>
              <w:t>6</w:t>
            </w:r>
            <w:r>
              <w:rPr>
                <w:spacing w:val="-8"/>
              </w:rPr>
              <w:t xml:space="preserve"> </w:t>
            </w:r>
            <w:r>
              <w:t>GefStoffV,</w:t>
            </w:r>
            <w:r>
              <w:rPr>
                <w:spacing w:val="-8"/>
              </w:rPr>
              <w:t xml:space="preserve"> </w:t>
            </w:r>
            <w:r>
              <w:t>TRGS 400/402/500</w:t>
            </w:r>
          </w:p>
        </w:tc>
      </w:tr>
      <w:tr w:rsidR="00EE0086" w14:paraId="596D0308" w14:textId="77777777" w:rsidTr="00E01A3E">
        <w:trPr>
          <w:trHeight w:val="1082"/>
        </w:trPr>
        <w:tc>
          <w:tcPr>
            <w:tcW w:w="1417" w:type="dxa"/>
            <w:tcBorders>
              <w:left w:val="nil"/>
            </w:tcBorders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3B0B43F3" w14:textId="77777777" w:rsidR="00EE0086" w:rsidRDefault="00EE0086" w:rsidP="00EE0086">
            <w:pPr>
              <w:pStyle w:val="TableParagraph"/>
            </w:pPr>
            <w:r>
              <w:t>Überwachung</w:t>
            </w:r>
          </w:p>
        </w:tc>
        <w:tc>
          <w:tcPr>
            <w:tcW w:w="1984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3A3A8384" w14:textId="77777777" w:rsidR="00EE0086" w:rsidRDefault="00EE0086" w:rsidP="00EE0086">
            <w:pPr>
              <w:pStyle w:val="TableParagraph"/>
            </w:pPr>
            <w:r>
              <w:t>Frühzeitig</w:t>
            </w:r>
            <w:r>
              <w:rPr>
                <w:spacing w:val="-13"/>
              </w:rPr>
              <w:t xml:space="preserve"> </w:t>
            </w:r>
            <w:r>
              <w:t>Abweichungen erkennen</w:t>
            </w:r>
          </w:p>
        </w:tc>
        <w:tc>
          <w:tcPr>
            <w:tcW w:w="2578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71D4284E" w14:textId="77777777" w:rsidR="00EE0086" w:rsidRDefault="00EE0086" w:rsidP="00EE0086">
            <w:pPr>
              <w:pStyle w:val="TableParagraph"/>
            </w:pPr>
            <w:r>
              <w:t xml:space="preserve">Rückmeldungen der Beschäftigten berücksichtigt; Messungen und </w:t>
            </w:r>
            <w:r>
              <w:rPr>
                <w:spacing w:val="-2"/>
              </w:rPr>
              <w:t>Prüfungen ausgewertet;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Anpassung</w:t>
            </w:r>
            <w:r>
              <w:t xml:space="preserve"> der Maßnahmen bei Änderungen</w:t>
            </w:r>
          </w:p>
        </w:tc>
        <w:tc>
          <w:tcPr>
            <w:tcW w:w="1581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731B31DE" w14:textId="77777777" w:rsidR="00EE0086" w:rsidRDefault="00EE0086" w:rsidP="00EE0086">
            <w:pPr>
              <w:pStyle w:val="TableParagraph"/>
            </w:pPr>
            <w:r>
              <w:t>Führungskraft, Arbeitssicherheit</w:t>
            </w:r>
          </w:p>
        </w:tc>
        <w:tc>
          <w:tcPr>
            <w:tcW w:w="1700" w:type="dxa"/>
            <w:tcBorders>
              <w:right w:val="nil"/>
            </w:tcBorders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75550350" w14:textId="77777777" w:rsidR="00EE0086" w:rsidRDefault="00EE0086" w:rsidP="00EE0086">
            <w:pPr>
              <w:pStyle w:val="TableParagraph"/>
            </w:pPr>
            <w:r>
              <w:t>ArbSchG,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GefStoffV</w:t>
            </w:r>
          </w:p>
        </w:tc>
      </w:tr>
      <w:tr w:rsidR="00EE0086" w14:paraId="6A9BF1FB" w14:textId="77777777" w:rsidTr="00E01A3E">
        <w:trPr>
          <w:trHeight w:val="1302"/>
        </w:trPr>
        <w:tc>
          <w:tcPr>
            <w:tcW w:w="1417" w:type="dxa"/>
            <w:tcBorders>
              <w:left w:val="nil"/>
            </w:tcBorders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461A2432" w14:textId="77777777" w:rsidR="00EE0086" w:rsidRDefault="00EE0086" w:rsidP="00EE0086">
            <w:pPr>
              <w:pStyle w:val="TableParagraph"/>
            </w:pPr>
            <w:r>
              <w:t>Entsorgung</w:t>
            </w:r>
          </w:p>
        </w:tc>
        <w:tc>
          <w:tcPr>
            <w:tcW w:w="1984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73EB6748" w14:textId="77777777" w:rsidR="00EE0086" w:rsidRDefault="00EE0086" w:rsidP="00EE0086">
            <w:pPr>
              <w:pStyle w:val="TableParagraph"/>
            </w:pPr>
            <w:r>
              <w:t>Rechtssichere</w:t>
            </w:r>
            <w:r>
              <w:rPr>
                <w:spacing w:val="-9"/>
              </w:rPr>
              <w:t xml:space="preserve"> </w:t>
            </w:r>
            <w:r>
              <w:t>und nachvollziehbare Abfallentsorgung</w:t>
            </w:r>
          </w:p>
        </w:tc>
        <w:tc>
          <w:tcPr>
            <w:tcW w:w="2578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1ED407A0" w14:textId="60D3AD2F" w:rsidR="00EE0086" w:rsidRPr="00711110" w:rsidRDefault="00EE0086" w:rsidP="00711110">
            <w:pPr>
              <w:pStyle w:val="TableParagraph"/>
              <w:rPr>
                <w:lang w:val="de-DE"/>
              </w:rPr>
            </w:pPr>
            <w:r w:rsidRPr="00711110">
              <w:rPr>
                <w:lang w:val="de-DE"/>
              </w:rPr>
              <w:t>Abfallschlüssel</w:t>
            </w:r>
            <w:r w:rsidRPr="00711110">
              <w:rPr>
                <w:spacing w:val="-8"/>
                <w:lang w:val="de-DE"/>
              </w:rPr>
              <w:t xml:space="preserve"> </w:t>
            </w:r>
            <w:r w:rsidRPr="00711110">
              <w:rPr>
                <w:lang w:val="de-DE"/>
              </w:rPr>
              <w:t xml:space="preserve">korrekt; </w:t>
            </w:r>
            <w:r w:rsidRPr="00711110">
              <w:rPr>
                <w:spacing w:val="-2"/>
                <w:lang w:val="de-DE"/>
              </w:rPr>
              <w:t>geeignete</w:t>
            </w:r>
            <w:r w:rsidRPr="00711110">
              <w:rPr>
                <w:spacing w:val="-9"/>
                <w:lang w:val="de-DE"/>
              </w:rPr>
              <w:t xml:space="preserve"> </w:t>
            </w:r>
            <w:proofErr w:type="spellStart"/>
            <w:r w:rsidRPr="00711110">
              <w:rPr>
                <w:spacing w:val="-2"/>
                <w:lang w:val="de-DE"/>
              </w:rPr>
              <w:t>Sammelbehälter;Vermischungsverbote</w:t>
            </w:r>
            <w:proofErr w:type="spellEnd"/>
            <w:r w:rsidRPr="00711110">
              <w:rPr>
                <w:spacing w:val="-8"/>
                <w:lang w:val="de-DE"/>
              </w:rPr>
              <w:t xml:space="preserve"> </w:t>
            </w:r>
            <w:r w:rsidRPr="00711110">
              <w:rPr>
                <w:spacing w:val="-2"/>
                <w:lang w:val="de-DE"/>
              </w:rPr>
              <w:t>eingehalten;</w:t>
            </w:r>
            <w:r w:rsidRPr="00711110">
              <w:rPr>
                <w:lang w:val="de-DE"/>
              </w:rPr>
              <w:t xml:space="preserve"> Entsorger</w:t>
            </w:r>
            <w:r w:rsidRPr="00711110">
              <w:rPr>
                <w:spacing w:val="-10"/>
                <w:lang w:val="de-DE"/>
              </w:rPr>
              <w:t xml:space="preserve"> </w:t>
            </w:r>
            <w:r w:rsidRPr="00711110">
              <w:rPr>
                <w:lang w:val="de-DE"/>
              </w:rPr>
              <w:t>zugelassen; Nachweisführung</w:t>
            </w:r>
            <w:r w:rsidRPr="00711110">
              <w:rPr>
                <w:spacing w:val="-10"/>
                <w:lang w:val="de-DE"/>
              </w:rPr>
              <w:t xml:space="preserve"> </w:t>
            </w:r>
            <w:r w:rsidRPr="00711110">
              <w:rPr>
                <w:lang w:val="de-DE"/>
              </w:rPr>
              <w:t>vollständig</w:t>
            </w:r>
          </w:p>
        </w:tc>
        <w:tc>
          <w:tcPr>
            <w:tcW w:w="1581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473542B7" w14:textId="77777777" w:rsidR="00EE0086" w:rsidRDefault="00EE0086" w:rsidP="00EE0086">
            <w:pPr>
              <w:pStyle w:val="TableParagraph"/>
            </w:pPr>
            <w:proofErr w:type="spellStart"/>
            <w:r>
              <w:t>Arbeitssicherheit</w:t>
            </w:r>
            <w:proofErr w:type="spellEnd"/>
            <w:r>
              <w:t xml:space="preserve">, </w:t>
            </w:r>
            <w:proofErr w:type="spellStart"/>
            <w:r>
              <w:t>Abfallbeauftragter</w:t>
            </w:r>
            <w:proofErr w:type="spellEnd"/>
          </w:p>
        </w:tc>
        <w:tc>
          <w:tcPr>
            <w:tcW w:w="1700" w:type="dxa"/>
            <w:tcBorders>
              <w:right w:val="nil"/>
            </w:tcBorders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614D4C28" w14:textId="77777777" w:rsidR="00EE0086" w:rsidRDefault="00EE0086" w:rsidP="00EE0086">
            <w:pPr>
              <w:pStyle w:val="TableParagraph"/>
            </w:pPr>
            <w:r>
              <w:t>KrWG,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AVV,</w:t>
            </w:r>
          </w:p>
          <w:p w14:paraId="6D6F8706" w14:textId="77777777" w:rsidR="00EE0086" w:rsidRDefault="00EE0086" w:rsidP="00EE0086">
            <w:pPr>
              <w:pStyle w:val="TableParagraph"/>
            </w:pPr>
            <w:r>
              <w:t>Gefahrgutrecht</w:t>
            </w:r>
          </w:p>
        </w:tc>
      </w:tr>
      <w:tr w:rsidR="00EE0086" w14:paraId="6A237EF5" w14:textId="77777777" w:rsidTr="00E01A3E">
        <w:trPr>
          <w:trHeight w:val="1082"/>
        </w:trPr>
        <w:tc>
          <w:tcPr>
            <w:tcW w:w="1417" w:type="dxa"/>
            <w:tcBorders>
              <w:left w:val="nil"/>
            </w:tcBorders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7B9F0D4F" w14:textId="77777777" w:rsidR="00EE0086" w:rsidRDefault="00EE0086" w:rsidP="00EE0086">
            <w:pPr>
              <w:pStyle w:val="TableParagraph"/>
            </w:pPr>
            <w:r>
              <w:t>Änderungs-management</w:t>
            </w:r>
          </w:p>
        </w:tc>
        <w:tc>
          <w:tcPr>
            <w:tcW w:w="1984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1FCE9BD1" w14:textId="77777777" w:rsidR="00EE0086" w:rsidRDefault="00EE0086" w:rsidP="00EE0086">
            <w:pPr>
              <w:pStyle w:val="TableParagraph"/>
            </w:pPr>
            <w:r>
              <w:t>Risiken</w:t>
            </w:r>
            <w:r>
              <w:rPr>
                <w:spacing w:val="-11"/>
              </w:rPr>
              <w:t xml:space="preserve"> </w:t>
            </w:r>
            <w:r>
              <w:t>bei</w:t>
            </w:r>
            <w:r>
              <w:rPr>
                <w:spacing w:val="-10"/>
              </w:rPr>
              <w:t xml:space="preserve"> </w:t>
            </w:r>
            <w:r>
              <w:t>Stoff-</w:t>
            </w:r>
            <w:r>
              <w:rPr>
                <w:spacing w:val="-10"/>
              </w:rPr>
              <w:t xml:space="preserve"> </w:t>
            </w:r>
            <w:r>
              <w:t>oder Prozessänderungen vermeiden</w:t>
            </w:r>
          </w:p>
        </w:tc>
        <w:tc>
          <w:tcPr>
            <w:tcW w:w="2578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543C6E07" w14:textId="77777777" w:rsidR="00EE0086" w:rsidRDefault="00EE0086" w:rsidP="00EE0086">
            <w:pPr>
              <w:pStyle w:val="TableParagraph"/>
            </w:pPr>
            <w:r>
              <w:t>Neubewertung bei Rezeptur-, Mengen-</w:t>
            </w:r>
            <w:r>
              <w:rPr>
                <w:spacing w:val="-11"/>
              </w:rPr>
              <w:t xml:space="preserve"> </w:t>
            </w:r>
            <w:r>
              <w:t>oder</w:t>
            </w:r>
            <w:r>
              <w:rPr>
                <w:spacing w:val="-10"/>
              </w:rPr>
              <w:t xml:space="preserve"> </w:t>
            </w:r>
            <w:r>
              <w:t>Prozessänderungen; Aktualisierung aller Unterlagen; erneute</w:t>
            </w:r>
            <w:r>
              <w:rPr>
                <w:spacing w:val="-10"/>
              </w:rPr>
              <w:t xml:space="preserve"> </w:t>
            </w:r>
            <w:r>
              <w:t>Freigabe</w:t>
            </w:r>
          </w:p>
        </w:tc>
        <w:tc>
          <w:tcPr>
            <w:tcW w:w="1581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2D55D8DD" w14:textId="77777777" w:rsidR="00EE0086" w:rsidRDefault="00EE0086" w:rsidP="00EE0086">
            <w:pPr>
              <w:pStyle w:val="TableParagraph"/>
            </w:pPr>
            <w:r>
              <w:t>Führungskraft, Arbeitssicherheit</w:t>
            </w:r>
          </w:p>
        </w:tc>
        <w:tc>
          <w:tcPr>
            <w:tcW w:w="1700" w:type="dxa"/>
            <w:tcBorders>
              <w:right w:val="nil"/>
            </w:tcBorders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516D535A" w14:textId="77777777" w:rsidR="00EE0086" w:rsidRDefault="00EE0086" w:rsidP="00EE0086">
            <w:pPr>
              <w:pStyle w:val="TableParagraph"/>
            </w:pPr>
            <w:r>
              <w:t>GefStoffV,</w:t>
            </w:r>
            <w:r>
              <w:rPr>
                <w:spacing w:val="-4"/>
              </w:rPr>
              <w:t xml:space="preserve"> TRGS</w:t>
            </w:r>
          </w:p>
        </w:tc>
      </w:tr>
      <w:tr w:rsidR="00EE0086" w14:paraId="6600DD8F" w14:textId="77777777" w:rsidTr="00E01A3E">
        <w:trPr>
          <w:trHeight w:val="1082"/>
        </w:trPr>
        <w:tc>
          <w:tcPr>
            <w:tcW w:w="1417" w:type="dxa"/>
            <w:tcBorders>
              <w:left w:val="nil"/>
            </w:tcBorders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6ECA5FFB" w14:textId="77777777" w:rsidR="00EE0086" w:rsidRDefault="00EE0086" w:rsidP="00EE0086">
            <w:pPr>
              <w:pStyle w:val="TableParagraph"/>
            </w:pPr>
            <w:r>
              <w:rPr>
                <w:spacing w:val="-2"/>
              </w:rPr>
              <w:lastRenderedPageBreak/>
              <w:t>Dokumentation</w:t>
            </w:r>
            <w:r>
              <w:t xml:space="preserve"> und</w:t>
            </w:r>
            <w:r>
              <w:rPr>
                <w:spacing w:val="-10"/>
              </w:rPr>
              <w:t xml:space="preserve"> </w:t>
            </w:r>
            <w:r>
              <w:t>Kontrolle</w:t>
            </w:r>
          </w:p>
        </w:tc>
        <w:tc>
          <w:tcPr>
            <w:tcW w:w="1984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64D11E5C" w14:textId="77777777" w:rsidR="00EE0086" w:rsidRDefault="00EE0086" w:rsidP="00EE0086">
            <w:pPr>
              <w:pStyle w:val="TableParagraph"/>
            </w:pPr>
            <w:r>
              <w:t>Rechtssicherheit</w:t>
            </w:r>
            <w:r>
              <w:rPr>
                <w:spacing w:val="-8"/>
              </w:rPr>
              <w:t xml:space="preserve"> </w:t>
            </w:r>
            <w:r>
              <w:t>und Nachvollziehbarkeit herstellen</w:t>
            </w:r>
          </w:p>
        </w:tc>
        <w:tc>
          <w:tcPr>
            <w:tcW w:w="2578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4586AB21" w14:textId="77777777" w:rsidR="00EE0086" w:rsidRDefault="00EE0086" w:rsidP="00EE0086">
            <w:pPr>
              <w:pStyle w:val="TableParagraph"/>
            </w:pPr>
            <w:r>
              <w:t xml:space="preserve">Alle Schritte dokumentiert; </w:t>
            </w:r>
            <w:r>
              <w:rPr>
                <w:spacing w:val="-2"/>
              </w:rPr>
              <w:t>Verantwortlichkeiten klar festgelegt;</w:t>
            </w:r>
            <w:r>
              <w:t xml:space="preserve"> regelmäßige Überprüfung der </w:t>
            </w:r>
            <w:r>
              <w:rPr>
                <w:spacing w:val="-2"/>
              </w:rPr>
              <w:t>Wirksamkeit</w:t>
            </w:r>
          </w:p>
        </w:tc>
        <w:tc>
          <w:tcPr>
            <w:tcW w:w="1581" w:type="dxa"/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5A5FE68E" w14:textId="77777777" w:rsidR="00EE0086" w:rsidRDefault="00EE0086" w:rsidP="00EE0086">
            <w:pPr>
              <w:pStyle w:val="TableParagraph"/>
            </w:pPr>
            <w:r>
              <w:t>Führungskraft</w:t>
            </w:r>
          </w:p>
        </w:tc>
        <w:tc>
          <w:tcPr>
            <w:tcW w:w="1700" w:type="dxa"/>
            <w:tcBorders>
              <w:right w:val="nil"/>
            </w:tcBorders>
            <w:shd w:val="clear" w:color="auto" w:fill="E0E1E3"/>
            <w:tcMar>
              <w:top w:w="28" w:type="dxa"/>
              <w:left w:w="57" w:type="dxa"/>
              <w:bottom w:w="85" w:type="dxa"/>
              <w:right w:w="57" w:type="dxa"/>
            </w:tcMar>
          </w:tcPr>
          <w:p w14:paraId="2C1CC010" w14:textId="77777777" w:rsidR="00EE0086" w:rsidRDefault="00EE0086" w:rsidP="00EE0086">
            <w:pPr>
              <w:pStyle w:val="TableParagraph"/>
            </w:pPr>
            <w:r>
              <w:t>§§</w:t>
            </w:r>
            <w:r>
              <w:rPr>
                <w:spacing w:val="-5"/>
              </w:rPr>
              <w:t xml:space="preserve"> </w:t>
            </w:r>
            <w:r>
              <w:t>5–6</w:t>
            </w:r>
            <w:r>
              <w:rPr>
                <w:spacing w:val="-13"/>
              </w:rPr>
              <w:t xml:space="preserve"> </w:t>
            </w:r>
            <w:r>
              <w:t>ArbSchG</w:t>
            </w:r>
          </w:p>
        </w:tc>
      </w:tr>
    </w:tbl>
    <w:p w14:paraId="4A40962F" w14:textId="77777777" w:rsidR="00EE0086" w:rsidRDefault="00EE0086" w:rsidP="00EE0086"/>
    <w:p w14:paraId="7FDA16A0" w14:textId="77777777" w:rsidR="00E87F66" w:rsidRPr="00530A6E" w:rsidRDefault="00E87F66" w:rsidP="00EE0086">
      <w:pPr>
        <w:pStyle w:val="Vorspann"/>
      </w:pPr>
    </w:p>
    <w:sectPr w:rsidR="00E87F66" w:rsidRPr="00530A6E" w:rsidSect="00F010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BC43E" w14:textId="77777777" w:rsidR="001250CE" w:rsidRDefault="001250CE" w:rsidP="008B0457">
      <w:pPr>
        <w:spacing w:line="240" w:lineRule="auto"/>
      </w:pPr>
      <w:r>
        <w:separator/>
      </w:r>
    </w:p>
  </w:endnote>
  <w:endnote w:type="continuationSeparator" w:id="0">
    <w:p w14:paraId="3461C917" w14:textId="77777777" w:rsidR="001250CE" w:rsidRDefault="001250CE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6BB4" w14:textId="77777777" w:rsidR="00E5534B" w:rsidRDefault="00E553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CF8D" w14:textId="1E705724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6A5CC8">
      <w:rPr>
        <w:rFonts w:ascii="Arial" w:hAnsi="Arial"/>
        <w:sz w:val="18"/>
        <w:lang w:bidi="de-DE"/>
      </w:rPr>
      <w:t>2026</w:t>
    </w:r>
    <w:r w:rsidR="00D11EAF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AF23" w14:textId="77777777" w:rsidR="00E5534B" w:rsidRDefault="00E5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99C0" w14:textId="77777777" w:rsidR="001250CE" w:rsidRDefault="001250CE" w:rsidP="008B0457">
      <w:pPr>
        <w:spacing w:line="240" w:lineRule="auto"/>
      </w:pPr>
      <w:r>
        <w:separator/>
      </w:r>
    </w:p>
  </w:footnote>
  <w:footnote w:type="continuationSeparator" w:id="0">
    <w:p w14:paraId="262724C1" w14:textId="77777777" w:rsidR="001250CE" w:rsidRDefault="001250CE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DC3B" w14:textId="77777777" w:rsidR="00E5534B" w:rsidRDefault="00E553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FD11" w14:textId="77777777" w:rsidR="00E5534B" w:rsidRDefault="00E553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B2C5D"/>
    <w:rsid w:val="000B6D6E"/>
    <w:rsid w:val="00116834"/>
    <w:rsid w:val="001250CE"/>
    <w:rsid w:val="001421CE"/>
    <w:rsid w:val="001470F1"/>
    <w:rsid w:val="0016672A"/>
    <w:rsid w:val="00181F90"/>
    <w:rsid w:val="00194FA3"/>
    <w:rsid w:val="001C7C15"/>
    <w:rsid w:val="00274659"/>
    <w:rsid w:val="002A0996"/>
    <w:rsid w:val="002B1C90"/>
    <w:rsid w:val="002D5565"/>
    <w:rsid w:val="002E3205"/>
    <w:rsid w:val="00344C99"/>
    <w:rsid w:val="003A77CE"/>
    <w:rsid w:val="003F16D8"/>
    <w:rsid w:val="003F7E3D"/>
    <w:rsid w:val="00530A6E"/>
    <w:rsid w:val="00585E82"/>
    <w:rsid w:val="005A3DD0"/>
    <w:rsid w:val="005A5989"/>
    <w:rsid w:val="006259A1"/>
    <w:rsid w:val="00662F25"/>
    <w:rsid w:val="006747B0"/>
    <w:rsid w:val="00675F78"/>
    <w:rsid w:val="006A5CC8"/>
    <w:rsid w:val="006C0196"/>
    <w:rsid w:val="006C0AED"/>
    <w:rsid w:val="006C27EC"/>
    <w:rsid w:val="006C444D"/>
    <w:rsid w:val="00701BDD"/>
    <w:rsid w:val="00711110"/>
    <w:rsid w:val="007C083D"/>
    <w:rsid w:val="007F764C"/>
    <w:rsid w:val="0081053B"/>
    <w:rsid w:val="00811147"/>
    <w:rsid w:val="00851BEE"/>
    <w:rsid w:val="00875E27"/>
    <w:rsid w:val="008B0457"/>
    <w:rsid w:val="00967E13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915E8"/>
    <w:rsid w:val="00BA5824"/>
    <w:rsid w:val="00BB5447"/>
    <w:rsid w:val="00C45F02"/>
    <w:rsid w:val="00C5215E"/>
    <w:rsid w:val="00C67D68"/>
    <w:rsid w:val="00C9060D"/>
    <w:rsid w:val="00C90F50"/>
    <w:rsid w:val="00CF632A"/>
    <w:rsid w:val="00D00296"/>
    <w:rsid w:val="00D0768F"/>
    <w:rsid w:val="00D11EAF"/>
    <w:rsid w:val="00D141B9"/>
    <w:rsid w:val="00D41208"/>
    <w:rsid w:val="00D76823"/>
    <w:rsid w:val="00E01A3E"/>
    <w:rsid w:val="00E30887"/>
    <w:rsid w:val="00E42E27"/>
    <w:rsid w:val="00E54649"/>
    <w:rsid w:val="00E5534B"/>
    <w:rsid w:val="00E71676"/>
    <w:rsid w:val="00E77895"/>
    <w:rsid w:val="00E87F66"/>
    <w:rsid w:val="00EE0086"/>
    <w:rsid w:val="00EE14B4"/>
    <w:rsid w:val="00EF4498"/>
    <w:rsid w:val="00F0046E"/>
    <w:rsid w:val="00F01073"/>
    <w:rsid w:val="00F01428"/>
    <w:rsid w:val="00F06AF6"/>
    <w:rsid w:val="00F231B4"/>
    <w:rsid w:val="00F5564F"/>
    <w:rsid w:val="00F6243E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EE0086"/>
    <w:pPr>
      <w:widowControl w:val="0"/>
      <w:autoSpaceDE w:val="0"/>
      <w:autoSpaceDN w:val="0"/>
      <w:spacing w:before="94" w:after="0" w:line="254" w:lineRule="auto"/>
      <w:ind w:right="143"/>
    </w:pPr>
    <w:rPr>
      <w:rFonts w:ascii="Arial" w:eastAsia="Times New Roman" w:hAnsi="Arial" w:cs="Times New Roman"/>
      <w:color w:val="231F20"/>
      <w:sz w:val="18"/>
      <w:lang w:val="en-US"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  <w:style w:type="paragraph" w:customStyle="1" w:styleId="HL">
    <w:name w:val="HL"/>
    <w:qFormat/>
    <w:rsid w:val="007C083D"/>
    <w:pPr>
      <w:spacing w:before="100" w:beforeAutospacing="1" w:after="240"/>
    </w:pPr>
    <w:rPr>
      <w:b/>
      <w:caps/>
      <w:color w:val="009FE4"/>
      <w:sz w:val="32"/>
      <w:szCs w:val="40"/>
      <w:lang w:eastAsia="en-US" w:bidi="de-DE"/>
    </w:rPr>
  </w:style>
  <w:style w:type="paragraph" w:customStyle="1" w:styleId="UTWGrund">
    <w:name w:val="UTW Grund"/>
    <w:basedOn w:val="Standard"/>
    <w:uiPriority w:val="99"/>
    <w:rsid w:val="00E87F66"/>
    <w:pPr>
      <w:autoSpaceDE w:val="0"/>
      <w:autoSpaceDN w:val="0"/>
      <w:adjustRightInd w:val="0"/>
      <w:spacing w:before="113" w:after="0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customStyle="1" w:styleId="Vorspann">
    <w:name w:val="Vorspann"/>
    <w:qFormat/>
    <w:rsid w:val="007C083D"/>
    <w:pPr>
      <w:widowControl w:val="0"/>
      <w:autoSpaceDE w:val="0"/>
      <w:autoSpaceDN w:val="0"/>
      <w:spacing w:after="240"/>
    </w:pPr>
    <w:rPr>
      <w:rFonts w:ascii="Arial Narrow" w:eastAsiaTheme="minorHAnsi" w:hAnsi="Arial Narrow" w:cs="Calibri"/>
      <w:b/>
      <w:bCs/>
      <w:color w:val="000000"/>
      <w:spacing w:val="-2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187B29B3A4C42844DA663030A6616" ma:contentTypeVersion="4" ma:contentTypeDescription="Ein neues Dokument erstellen." ma:contentTypeScope="" ma:versionID="5077a381b485138c7f24bf2860f264e6">
  <xsd:schema xmlns:xsd="http://www.w3.org/2001/XMLSchema" xmlns:xs="http://www.w3.org/2001/XMLSchema" xmlns:p="http://schemas.microsoft.com/office/2006/metadata/properties" xmlns:ns2="ac6a1383-2b52-48ee-82b4-7076ae59bb90" targetNamespace="http://schemas.microsoft.com/office/2006/metadata/properties" ma:root="true" ma:fieldsID="0e36abfcaa22ce1ab2259015dee2d358" ns2:_="">
    <xsd:import namespace="ac6a1383-2b52-48ee-82b4-7076ae59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1383-2b52-48ee-82b4-7076ae59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D60F4-766F-4E72-89FA-DBC6B5992521}"/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2</Pages>
  <Words>544</Words>
  <Characters>2138</Characters>
  <Application>Microsoft Office Word</Application>
  <DocSecurity>0</DocSecurity>
  <Lines>712</Lines>
  <Paragraphs>446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2026-03-10T11:59:00Z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0x010100A8F187B29B3A4C42844DA663030A6616</vt:lpwstr>
  </property>
</Properties>
</file>