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074266DB" w:rsidR="00C53075" w:rsidRDefault="00327034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Übersicht</w:t>
      </w:r>
      <w:r w:rsidR="000631C0"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: </w:t>
      </w:r>
      <w:r w:rsidRPr="00327034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Durch kleine und </w:t>
      </w:r>
      <w:proofErr w:type="spellStart"/>
      <w:r w:rsidRPr="00327034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große</w:t>
      </w:r>
      <w:proofErr w:type="spellEnd"/>
      <w:r w:rsidRPr="00327034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Ideen </w:t>
      </w: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br/>
      </w:r>
      <w:r w:rsidRPr="00327034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Verbundenheit fördern</w:t>
      </w:r>
    </w:p>
    <w:p w14:paraId="473FBFAD" w14:textId="77777777" w:rsidR="00327034" w:rsidRPr="00327034" w:rsidRDefault="00327034" w:rsidP="00327034"/>
    <w:tbl>
      <w:tblPr>
        <w:tblStyle w:val="Tabellenraster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704"/>
        <w:gridCol w:w="8647"/>
      </w:tblGrid>
      <w:tr w:rsidR="00327034" w:rsidRPr="00495639" w14:paraId="3529F08F" w14:textId="77777777" w:rsidTr="00327034">
        <w:trPr>
          <w:trHeight w:val="227"/>
        </w:trPr>
        <w:tc>
          <w:tcPr>
            <w:tcW w:w="704" w:type="dxa"/>
            <w:shd w:val="clear" w:color="auto" w:fill="0070C0"/>
          </w:tcPr>
          <w:p w14:paraId="5E3D0C5B" w14:textId="2456211C" w:rsidR="00327034" w:rsidRPr="00327034" w:rsidRDefault="00327034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8"/>
                <w:szCs w:val="32"/>
                <w:lang w:eastAsia="de-DE"/>
              </w:rPr>
            </w:pPr>
            <w:r w:rsidRPr="00327034">
              <w:rPr>
                <w:rFonts w:eastAsia="Times New Roman" w:cstheme="minorHAnsi"/>
                <w:b/>
                <w:sz w:val="28"/>
                <w:szCs w:val="32"/>
                <w:lang w:eastAsia="de-DE"/>
              </w:rPr>
              <w:t>Nr.</w:t>
            </w:r>
          </w:p>
        </w:tc>
        <w:tc>
          <w:tcPr>
            <w:tcW w:w="8647" w:type="dxa"/>
            <w:shd w:val="clear" w:color="auto" w:fill="0070C0"/>
          </w:tcPr>
          <w:p w14:paraId="36FAB1E7" w14:textId="737D7A1A" w:rsidR="00327034" w:rsidRPr="00327034" w:rsidRDefault="00327034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8"/>
                <w:szCs w:val="32"/>
                <w:lang w:eastAsia="de-DE"/>
              </w:rPr>
            </w:pPr>
            <w:r w:rsidRPr="00327034">
              <w:rPr>
                <w:rFonts w:eastAsia="Times New Roman" w:cstheme="minorHAnsi"/>
                <w:b/>
                <w:sz w:val="28"/>
                <w:szCs w:val="32"/>
                <w:lang w:eastAsia="de-DE"/>
              </w:rPr>
              <w:t>Beispiel</w:t>
            </w:r>
          </w:p>
        </w:tc>
      </w:tr>
      <w:tr w:rsidR="00327034" w:rsidRPr="00B615E3" w14:paraId="77E6B11B" w14:textId="77777777" w:rsidTr="00327034">
        <w:trPr>
          <w:trHeight w:val="227"/>
        </w:trPr>
        <w:tc>
          <w:tcPr>
            <w:tcW w:w="704" w:type="dxa"/>
            <w:shd w:val="clear" w:color="auto" w:fill="auto"/>
          </w:tcPr>
          <w:p w14:paraId="66F63A37" w14:textId="423AB10E" w:rsidR="00327034" w:rsidRPr="00546305" w:rsidRDefault="00327034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14:paraId="0F242B65" w14:textId="3EAFEFA3" w:rsidR="00327034" w:rsidRPr="00546305" w:rsidRDefault="00327034" w:rsidP="00327034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703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Teammeetings mal anders beginnen: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 xml:space="preserve">Regen Sie an, dass Teammeetings künftig anders starten und gehen Sie mit gutem Beispiel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voran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Anstatt sachlich die Agenda vorzutragen, beginnt die Runde mit einer kleinen positiven Geschichte. Jeder Kollege teilt kurz, womit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er diese Woche zufrieden war. So kann sich das Team zusammen freuen und teilt auch positive Erlebnisse.</w:t>
            </w:r>
          </w:p>
        </w:tc>
      </w:tr>
      <w:tr w:rsidR="00327034" w:rsidRPr="00B615E3" w14:paraId="061E0136" w14:textId="77777777" w:rsidTr="00327034">
        <w:trPr>
          <w:trHeight w:val="227"/>
        </w:trPr>
        <w:tc>
          <w:tcPr>
            <w:tcW w:w="704" w:type="dxa"/>
            <w:shd w:val="clear" w:color="auto" w:fill="auto"/>
          </w:tcPr>
          <w:p w14:paraId="68255BA2" w14:textId="5105B083" w:rsidR="00327034" w:rsidRPr="00546305" w:rsidRDefault="00327034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14:paraId="7C393562" w14:textId="77DE7A86" w:rsidR="00327034" w:rsidRPr="00546305" w:rsidRDefault="00327034" w:rsidP="00327034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703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Führungskräfte schulen: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Geben Sie an Ihren Arbeitgeber den Impuls weiter, dass die Führungskräfte maßgeblich zu der sozialen Verbundenheit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in ihrem Team beitragen. Vielen Vorgesetzten fällt dies nicht leicht, daher braucht es auch hier immer wieder eine Schulung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oder ein Seminar dazu.</w:t>
            </w:r>
          </w:p>
        </w:tc>
      </w:tr>
      <w:tr w:rsidR="00327034" w:rsidRPr="00B615E3" w14:paraId="446D157F" w14:textId="77777777" w:rsidTr="00327034">
        <w:trPr>
          <w:trHeight w:val="227"/>
        </w:trPr>
        <w:tc>
          <w:tcPr>
            <w:tcW w:w="704" w:type="dxa"/>
            <w:shd w:val="clear" w:color="auto" w:fill="auto"/>
          </w:tcPr>
          <w:p w14:paraId="48213907" w14:textId="625168A8" w:rsidR="00327034" w:rsidRPr="00546305" w:rsidRDefault="00327034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14:paraId="3B4C91E5" w14:textId="6AB571E9" w:rsidR="00327034" w:rsidRPr="00546305" w:rsidRDefault="00327034" w:rsidP="00327034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703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Wertschätzung verschenken: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Regen Sie auch die Kollegen an, sich untereinander mehr wertzuschätzen. Das ist kein einfaches Vorhaben,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besonders, da viele es nicht gewohnt sind, Anerkennung auszusprechen. Hier hilft ein Abrisszettel mit anerkennenden Worten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oder ein kurzes Gespräch.</w:t>
            </w:r>
          </w:p>
        </w:tc>
      </w:tr>
      <w:tr w:rsidR="00327034" w:rsidRPr="00B615E3" w14:paraId="512C654E" w14:textId="77777777" w:rsidTr="00327034">
        <w:trPr>
          <w:trHeight w:val="227"/>
        </w:trPr>
        <w:tc>
          <w:tcPr>
            <w:tcW w:w="704" w:type="dxa"/>
            <w:shd w:val="clear" w:color="auto" w:fill="auto"/>
          </w:tcPr>
          <w:p w14:paraId="5E0C0134" w14:textId="7524EE1D" w:rsidR="00327034" w:rsidRPr="00546305" w:rsidRDefault="00327034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4. </w:t>
            </w:r>
          </w:p>
        </w:tc>
        <w:tc>
          <w:tcPr>
            <w:tcW w:w="8647" w:type="dxa"/>
            <w:shd w:val="clear" w:color="auto" w:fill="auto"/>
          </w:tcPr>
          <w:p w14:paraId="0D96FF1C" w14:textId="08CBF216" w:rsidR="00327034" w:rsidRPr="00546305" w:rsidRDefault="00327034" w:rsidP="003270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2703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Ecken zum Austausch schaffen: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Verbundenheit entsteht durch ein informelles Gespräch, wie am Kaffeeautomaten oder in der Kantine.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Achten Sie drauf, dass Ihr Arbeitgeber solche kleinen Ecken schafft, wo sich die Kollegen „zufällig“ treffen und sich kurz austauschen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können.</w:t>
            </w:r>
          </w:p>
        </w:tc>
      </w:tr>
      <w:tr w:rsidR="00327034" w:rsidRPr="00B615E3" w14:paraId="6E2E0017" w14:textId="77777777" w:rsidTr="00327034">
        <w:trPr>
          <w:trHeight w:val="227"/>
        </w:trPr>
        <w:tc>
          <w:tcPr>
            <w:tcW w:w="704" w:type="dxa"/>
            <w:shd w:val="clear" w:color="auto" w:fill="auto"/>
          </w:tcPr>
          <w:p w14:paraId="5E94BDEB" w14:textId="7F281228" w:rsidR="00327034" w:rsidRPr="00546305" w:rsidRDefault="00327034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14:paraId="0B46C0A8" w14:textId="1DF60EBD" w:rsidR="00327034" w:rsidRPr="00546305" w:rsidRDefault="00327034" w:rsidP="003270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2703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Erfolge feiern: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Ein Projekt ist abgeschlossen oder ein Auftrag abgearbeitet. Wie gehen Sie in Ihrem Betrieb damit um? Geht es sofort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weiter oder gibt es ein wirklich kurzes Innehalten? Kleine und große Erfolge zu feiern ist wichtig, denn es stärkt den Stolz und das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Gefühl von „Wir schaffen das“. Diese kleinen Erfolgsmomente können auch im Intranet oder am Schwarzen Brett geteilt und sichtbar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gemacht werden.</w:t>
            </w:r>
          </w:p>
        </w:tc>
      </w:tr>
      <w:tr w:rsidR="00327034" w:rsidRPr="00B615E3" w14:paraId="2A5F0D87" w14:textId="77777777" w:rsidTr="00327034">
        <w:trPr>
          <w:trHeight w:val="227"/>
        </w:trPr>
        <w:tc>
          <w:tcPr>
            <w:tcW w:w="704" w:type="dxa"/>
            <w:shd w:val="clear" w:color="auto" w:fill="auto"/>
          </w:tcPr>
          <w:p w14:paraId="3EA6B903" w14:textId="57201CBE" w:rsidR="00327034" w:rsidRPr="00546305" w:rsidRDefault="00327034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8647" w:type="dxa"/>
            <w:shd w:val="clear" w:color="auto" w:fill="auto"/>
          </w:tcPr>
          <w:p w14:paraId="1D14792A" w14:textId="1983E2D8" w:rsidR="00327034" w:rsidRPr="00546305" w:rsidRDefault="00327034" w:rsidP="003270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2703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Onboarding – neue Kollegen ins Boot holen: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Regen Sie an, gleich bei den neuen Kollegen die Verbundenheit mit dem Betrieb und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den anderen Kollegen zu stärken und in den ersten Tagen gezielt das Kennenlernen zu forcieren. Hier können erfahrene Kollegen die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Neuen unterstützen und sie mit den Kollegen auch außerhalb der Abteilung vertraut machen.</w:t>
            </w:r>
          </w:p>
        </w:tc>
      </w:tr>
      <w:tr w:rsidR="00327034" w:rsidRPr="00B615E3" w14:paraId="3FF62168" w14:textId="77777777" w:rsidTr="00327034">
        <w:trPr>
          <w:trHeight w:val="227"/>
        </w:trPr>
        <w:tc>
          <w:tcPr>
            <w:tcW w:w="704" w:type="dxa"/>
            <w:shd w:val="clear" w:color="auto" w:fill="auto"/>
          </w:tcPr>
          <w:p w14:paraId="677DFBFF" w14:textId="608E456B" w:rsidR="00327034" w:rsidRPr="00546305" w:rsidRDefault="00327034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8647" w:type="dxa"/>
            <w:shd w:val="clear" w:color="auto" w:fill="auto"/>
          </w:tcPr>
          <w:p w14:paraId="67396610" w14:textId="2C145058" w:rsidR="00327034" w:rsidRPr="00546305" w:rsidRDefault="00327034" w:rsidP="003270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2703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Gesundheitsangebote fördern: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Gesundheit ist immer wichtig am Arbeitsplatz. Der Mehrwert von Gesundheitsangeboten – ob die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Bewegte Pause um die Mittagszeit, ein Achtsamkeitsimpuls oder eine Schrittzählerchallenge – ist nicht nur die Gesundheitsförderung.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Solche Angebote bringen Kollegen aus unterschiedlichen Abteilungen zusammen und ermöglichen echte Begegnungen. Ihr Arbeitgeber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und Ihre Kollegen profitieren davon.</w:t>
            </w:r>
          </w:p>
        </w:tc>
      </w:tr>
      <w:tr w:rsidR="00327034" w:rsidRPr="00B615E3" w14:paraId="67C54601" w14:textId="77777777" w:rsidTr="00327034">
        <w:trPr>
          <w:trHeight w:val="227"/>
        </w:trPr>
        <w:tc>
          <w:tcPr>
            <w:tcW w:w="704" w:type="dxa"/>
            <w:shd w:val="clear" w:color="auto" w:fill="auto"/>
          </w:tcPr>
          <w:p w14:paraId="397537D9" w14:textId="1615EDE8" w:rsidR="00327034" w:rsidRPr="00546305" w:rsidRDefault="00327034" w:rsidP="007A564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8647" w:type="dxa"/>
            <w:shd w:val="clear" w:color="auto" w:fill="auto"/>
          </w:tcPr>
          <w:p w14:paraId="60EC3FD2" w14:textId="36484D3B" w:rsidR="00327034" w:rsidRPr="00546305" w:rsidRDefault="00327034" w:rsidP="003270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2703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Rituale etablieren: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Rituale geben Struktur und stärken Gemeinschaft – z. B. kann es einmal im Monat ein Essen mit dem Geschäftsführer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geben, an dem immer wechselnd 10 Kollegen teilnehmen können, oder es gibt einmal im Monat ein Teammittagessen oder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einen kurzen Wochenabschluss.</w:t>
            </w:r>
          </w:p>
        </w:tc>
      </w:tr>
      <w:tr w:rsidR="00327034" w:rsidRPr="00B615E3" w14:paraId="4ED08720" w14:textId="77777777" w:rsidTr="00327034">
        <w:trPr>
          <w:trHeight w:val="227"/>
        </w:trPr>
        <w:tc>
          <w:tcPr>
            <w:tcW w:w="704" w:type="dxa"/>
            <w:shd w:val="clear" w:color="auto" w:fill="auto"/>
          </w:tcPr>
          <w:p w14:paraId="79F2996B" w14:textId="17EF6ECF" w:rsidR="00327034" w:rsidRPr="00546305" w:rsidRDefault="00327034" w:rsidP="007A564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8647" w:type="dxa"/>
            <w:shd w:val="clear" w:color="auto" w:fill="auto"/>
          </w:tcPr>
          <w:p w14:paraId="6AF48D96" w14:textId="562C7084" w:rsidR="00327034" w:rsidRPr="00546305" w:rsidRDefault="00327034" w:rsidP="003270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2703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Mitgestaltung ermöglichen: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 xml:space="preserve"> Geben Sie Kollegen bewusst Raum, eigene Ideen einzubringen und Verantwortung zu übernehmen – etwa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in kleinen Projekten oder Arbeitsgruppen. Wer mitgestalten darf, fühlt sich stärker zugehörig und identifiziert sich mehr mit dem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27034">
              <w:rPr>
                <w:rFonts w:ascii="Arial" w:eastAsiaTheme="minorHAnsi" w:hAnsi="Arial" w:cs="Arial"/>
                <w:sz w:val="24"/>
                <w:szCs w:val="24"/>
              </w:rPr>
              <w:t>Unternehmen und seinen Zielen.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BF4AF" w14:textId="77777777" w:rsidR="007C3A5D" w:rsidRDefault="007C3A5D" w:rsidP="0024604F">
      <w:r>
        <w:separator/>
      </w:r>
    </w:p>
  </w:endnote>
  <w:endnote w:type="continuationSeparator" w:id="0">
    <w:p w14:paraId="4F3EFD4B" w14:textId="77777777" w:rsidR="007C3A5D" w:rsidRDefault="007C3A5D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05B0F242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327034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327034" w:rsidRPr="00327034">
      <w:rPr>
        <w:rFonts w:asciiTheme="majorHAnsi" w:hAnsiTheme="majorHAnsi" w:cstheme="majorHAnsi"/>
        <w:sz w:val="18"/>
        <w:lang w:bidi="de-DE"/>
      </w:rPr>
      <w:t xml:space="preserve">Brigitte </w:t>
    </w:r>
    <w:proofErr w:type="spellStart"/>
    <w:r w:rsidR="00327034" w:rsidRPr="00327034">
      <w:rPr>
        <w:rFonts w:asciiTheme="majorHAnsi" w:hAnsiTheme="majorHAnsi" w:cstheme="majorHAnsi"/>
        <w:sz w:val="18"/>
        <w:lang w:bidi="de-DE"/>
      </w:rPr>
      <w:t>Ganzmann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B4A4A" w14:textId="77777777" w:rsidR="007C3A5D" w:rsidRDefault="007C3A5D" w:rsidP="0024604F">
      <w:r>
        <w:separator/>
      </w:r>
    </w:p>
  </w:footnote>
  <w:footnote w:type="continuationSeparator" w:id="0">
    <w:p w14:paraId="4FADC877" w14:textId="77777777" w:rsidR="007C3A5D" w:rsidRDefault="007C3A5D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139147901">
    <w:abstractNumId w:val="10"/>
  </w:num>
  <w:num w:numId="2" w16cid:durableId="235482720">
    <w:abstractNumId w:val="7"/>
  </w:num>
  <w:num w:numId="3" w16cid:durableId="110511538">
    <w:abstractNumId w:val="8"/>
  </w:num>
  <w:num w:numId="4" w16cid:durableId="1069569875">
    <w:abstractNumId w:val="4"/>
  </w:num>
  <w:num w:numId="5" w16cid:durableId="1096100295">
    <w:abstractNumId w:val="1"/>
  </w:num>
  <w:num w:numId="6" w16cid:durableId="919095732">
    <w:abstractNumId w:val="2"/>
  </w:num>
  <w:num w:numId="7" w16cid:durableId="2049640327">
    <w:abstractNumId w:val="0"/>
  </w:num>
  <w:num w:numId="8" w16cid:durableId="888296157">
    <w:abstractNumId w:val="3"/>
  </w:num>
  <w:num w:numId="9" w16cid:durableId="700321524">
    <w:abstractNumId w:val="5"/>
  </w:num>
  <w:num w:numId="10" w16cid:durableId="2082674604">
    <w:abstractNumId w:val="9"/>
  </w:num>
  <w:num w:numId="11" w16cid:durableId="686060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0785"/>
    <w:rsid w:val="000845BC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27034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54109"/>
    <w:rsid w:val="004608C0"/>
    <w:rsid w:val="0049178A"/>
    <w:rsid w:val="004B27EB"/>
    <w:rsid w:val="004B3DE3"/>
    <w:rsid w:val="00546305"/>
    <w:rsid w:val="0063142E"/>
    <w:rsid w:val="00634FF1"/>
    <w:rsid w:val="00684136"/>
    <w:rsid w:val="00703947"/>
    <w:rsid w:val="0076766C"/>
    <w:rsid w:val="007A564E"/>
    <w:rsid w:val="007B6E8D"/>
    <w:rsid w:val="007B7114"/>
    <w:rsid w:val="007C3A5D"/>
    <w:rsid w:val="007D514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AB5A9C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83C1C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C6FB8"/>
    <w:rsid w:val="00DD1ECA"/>
    <w:rsid w:val="00DD4238"/>
    <w:rsid w:val="00DE3F53"/>
    <w:rsid w:val="00E0478A"/>
    <w:rsid w:val="00E24C03"/>
    <w:rsid w:val="00E32339"/>
    <w:rsid w:val="00E45CBC"/>
    <w:rsid w:val="00E60D79"/>
    <w:rsid w:val="00EB19A2"/>
    <w:rsid w:val="00F00668"/>
    <w:rsid w:val="00F55BD0"/>
    <w:rsid w:val="00FD56F6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2026-02-06T04:08:00Z</dcterms:created>
  <dcterms:modified xsi:type="dcterms:W3CDTF">2026-02-06T04:15:00Z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