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615F69B6" w:rsidR="00E71F60" w:rsidRDefault="00401E2B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Checkliste: Haben Sie alle wichtigen Informationen für externe Rettungskräfte zusammengestellt?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7"/>
        <w:gridCol w:w="8200"/>
        <w:gridCol w:w="709"/>
        <w:gridCol w:w="984"/>
      </w:tblGrid>
      <w:tr w:rsidR="00401E2B" w:rsidRPr="008F4BFB" w14:paraId="64356FC5" w14:textId="566E6D48" w:rsidTr="00401E2B">
        <w:tc>
          <w:tcPr>
            <w:tcW w:w="867" w:type="dxa"/>
          </w:tcPr>
          <w:p w14:paraId="46476076" w14:textId="77777777" w:rsidR="00401E2B" w:rsidRPr="00401E2B" w:rsidRDefault="00401E2B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0" w:type="dxa"/>
          </w:tcPr>
          <w:p w14:paraId="2FE145D0" w14:textId="04D0D245" w:rsidR="00401E2B" w:rsidRPr="00401E2B" w:rsidRDefault="00401E2B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000B6D9" w14:textId="6248256E" w:rsidR="00401E2B" w:rsidRPr="00401E2B" w:rsidRDefault="00401E2B" w:rsidP="005628E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E2B">
              <w:rPr>
                <w:rFonts w:ascii="Arial" w:hAnsi="Arial" w:cs="Arial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984" w:type="dxa"/>
          </w:tcPr>
          <w:p w14:paraId="6563386C" w14:textId="31E8A283" w:rsidR="00401E2B" w:rsidRPr="00401E2B" w:rsidRDefault="00401E2B" w:rsidP="005628E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E2B">
              <w:rPr>
                <w:rFonts w:ascii="Arial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401E2B" w:rsidRPr="008F4BFB" w14:paraId="115B44A2" w14:textId="2A787C33" w:rsidTr="00401E2B">
        <w:tc>
          <w:tcPr>
            <w:tcW w:w="867" w:type="dxa"/>
          </w:tcPr>
          <w:p w14:paraId="000E7A43" w14:textId="250A4E7F" w:rsidR="00401E2B" w:rsidRPr="00401E2B" w:rsidRDefault="00401E2B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8200" w:type="dxa"/>
          </w:tcPr>
          <w:p w14:paraId="2B56A828" w14:textId="1F33F050" w:rsidR="00401E2B" w:rsidRPr="00401E2B" w:rsidRDefault="00401E2B" w:rsidP="00401E2B">
            <w:pPr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sz w:val="24"/>
                <w:szCs w:val="24"/>
              </w:rPr>
              <w:t>Ist festgelegt, wer Ansprechperson für externe Einsatzkräfte ist?</w:t>
            </w:r>
          </w:p>
        </w:tc>
        <w:tc>
          <w:tcPr>
            <w:tcW w:w="709" w:type="dxa"/>
          </w:tcPr>
          <w:p w14:paraId="53E9F180" w14:textId="5BC71687" w:rsidR="00401E2B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6B4178C2" w14:textId="15083F0C" w:rsidR="00401E2B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8F4BFB" w14:paraId="3CF3CA6F" w14:textId="49C28836" w:rsidTr="00401E2B">
        <w:tc>
          <w:tcPr>
            <w:tcW w:w="867" w:type="dxa"/>
          </w:tcPr>
          <w:p w14:paraId="147F3002" w14:textId="74BB14E2" w:rsidR="000C7615" w:rsidRPr="00401E2B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200" w:type="dxa"/>
          </w:tcPr>
          <w:p w14:paraId="6DC422B8" w14:textId="77777777" w:rsidR="000C7615" w:rsidRPr="00401E2B" w:rsidRDefault="000C7615" w:rsidP="000C761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sz w:val="24"/>
                <w:szCs w:val="24"/>
              </w:rPr>
              <w:t>Ist geregelt, wie externe Einsatzkräfte im Krisenfall auf das Betriebsgelände gelangen können, falls dieses beispielsweise umzäunt</w:t>
            </w:r>
          </w:p>
          <w:p w14:paraId="0EEC8A8A" w14:textId="1874D6DF" w:rsidR="000C7615" w:rsidRPr="00401E2B" w:rsidRDefault="000C7615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sz w:val="24"/>
                <w:szCs w:val="24"/>
              </w:rPr>
              <w:t>ist? (z. B. Schlüsselkasten, ständig besetzter Empfang)</w:t>
            </w:r>
          </w:p>
        </w:tc>
        <w:tc>
          <w:tcPr>
            <w:tcW w:w="709" w:type="dxa"/>
          </w:tcPr>
          <w:p w14:paraId="722E6D36" w14:textId="4E680622" w:rsidR="000C7615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46F06273" w14:textId="07C01B06" w:rsidR="000C7615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8F4BFB" w14:paraId="6A6B8A95" w14:textId="0EFD9FA9" w:rsidTr="00401E2B">
        <w:tc>
          <w:tcPr>
            <w:tcW w:w="867" w:type="dxa"/>
          </w:tcPr>
          <w:p w14:paraId="2A53F57D" w14:textId="1259BD13" w:rsidR="000C7615" w:rsidRPr="00401E2B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200" w:type="dxa"/>
          </w:tcPr>
          <w:p w14:paraId="0613714A" w14:textId="7330F787" w:rsidR="000C7615" w:rsidRPr="00401E2B" w:rsidRDefault="000C7615" w:rsidP="000C7615">
            <w:pPr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sz w:val="24"/>
                <w:szCs w:val="24"/>
              </w:rPr>
              <w:t>Gibt es Feuerwehrpläne, Laufkarten etc. für externe Einsatzkräfte?</w:t>
            </w:r>
          </w:p>
        </w:tc>
        <w:tc>
          <w:tcPr>
            <w:tcW w:w="709" w:type="dxa"/>
          </w:tcPr>
          <w:p w14:paraId="7D84DDCB" w14:textId="6FD97265" w:rsidR="000C7615" w:rsidRPr="00401E2B" w:rsidRDefault="000C7615" w:rsidP="000C7615">
            <w:pPr>
              <w:adjustRightInd w:val="0"/>
              <w:spacing w:line="320" w:lineRule="atLeast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2E2CD9E" w14:textId="040675E5" w:rsidR="000C7615" w:rsidRPr="00401E2B" w:rsidRDefault="000C7615" w:rsidP="000C7615">
            <w:pPr>
              <w:adjustRightInd w:val="0"/>
              <w:spacing w:line="320" w:lineRule="atLeast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8F4BFB" w14:paraId="6104EB45" w14:textId="41F6FB38" w:rsidTr="00401E2B">
        <w:tc>
          <w:tcPr>
            <w:tcW w:w="867" w:type="dxa"/>
          </w:tcPr>
          <w:p w14:paraId="2CA4887C" w14:textId="5166B824" w:rsidR="000C7615" w:rsidRPr="00401E2B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200" w:type="dxa"/>
          </w:tcPr>
          <w:p w14:paraId="1BC14872" w14:textId="43FCF48D" w:rsidR="000C7615" w:rsidRPr="00401E2B" w:rsidRDefault="000C7615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sz w:val="24"/>
                <w:szCs w:val="24"/>
              </w:rPr>
              <w:t>Ist sichergestellt, dass Flucht- und Rettungswege, Feuerwehrzufahren sowie Feuerwehraufstellflächen jederzeit freigehalten sind?</w:t>
            </w:r>
          </w:p>
        </w:tc>
        <w:tc>
          <w:tcPr>
            <w:tcW w:w="709" w:type="dxa"/>
          </w:tcPr>
          <w:p w14:paraId="05841907" w14:textId="06E58692" w:rsidR="000C7615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B105E7F" w14:textId="2E68413E" w:rsidR="000C7615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8F4BFB" w14:paraId="4E16A2E0" w14:textId="7E060F17" w:rsidTr="00401E2B">
        <w:tc>
          <w:tcPr>
            <w:tcW w:w="867" w:type="dxa"/>
          </w:tcPr>
          <w:p w14:paraId="4FA99C2A" w14:textId="72D0F97E" w:rsidR="000C7615" w:rsidRPr="00401E2B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200" w:type="dxa"/>
          </w:tcPr>
          <w:p w14:paraId="706782ED" w14:textId="2DC26D7F" w:rsidR="000C7615" w:rsidRPr="00401E2B" w:rsidRDefault="000C7615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sz w:val="24"/>
                <w:szCs w:val="24"/>
              </w:rPr>
              <w:t>Sind darauf Bereiche mit h</w:t>
            </w:r>
            <w:bookmarkStart w:id="0" w:name="_GoBack"/>
            <w:bookmarkEnd w:id="0"/>
            <w:r w:rsidRPr="00401E2B">
              <w:rPr>
                <w:rFonts w:ascii="Arial" w:eastAsiaTheme="minorHAnsi" w:hAnsi="Arial" w:cs="Arial"/>
                <w:sz w:val="24"/>
                <w:szCs w:val="24"/>
              </w:rPr>
              <w:t>ohem Gefahrenpotenzial gekennzeichnet, z. B. Gefahrstofflager, Bereiche mit radioaktiver Strahlung?</w:t>
            </w:r>
          </w:p>
        </w:tc>
        <w:tc>
          <w:tcPr>
            <w:tcW w:w="709" w:type="dxa"/>
          </w:tcPr>
          <w:p w14:paraId="27875673" w14:textId="709BB5D2" w:rsidR="000C7615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497DE735" w14:textId="209B3260" w:rsidR="000C7615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8F4BFB" w14:paraId="56658811" w14:textId="7E1BADD9" w:rsidTr="00401E2B">
        <w:tc>
          <w:tcPr>
            <w:tcW w:w="867" w:type="dxa"/>
          </w:tcPr>
          <w:p w14:paraId="3FCC4D39" w14:textId="05981F27" w:rsidR="000C7615" w:rsidRPr="00401E2B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200" w:type="dxa"/>
          </w:tcPr>
          <w:p w14:paraId="1B17EF85" w14:textId="77777777" w:rsidR="000C7615" w:rsidRPr="00401E2B" w:rsidRDefault="000C7615" w:rsidP="000C761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sz w:val="24"/>
                <w:szCs w:val="24"/>
              </w:rPr>
              <w:t>Sind darauf wichtige Notfalleinrichtungen wie z. B. Hauptabsperrhähne, Absperrschieber in der betrieblichen Kanalisation, Hydranten</w:t>
            </w:r>
          </w:p>
          <w:p w14:paraId="7B82723D" w14:textId="004C8B93" w:rsidR="000C7615" w:rsidRPr="00401E2B" w:rsidRDefault="000C7615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sz w:val="24"/>
                <w:szCs w:val="24"/>
              </w:rPr>
              <w:t>etc. eingezeichnet?</w:t>
            </w:r>
          </w:p>
        </w:tc>
        <w:tc>
          <w:tcPr>
            <w:tcW w:w="709" w:type="dxa"/>
          </w:tcPr>
          <w:p w14:paraId="4FEE2BA2" w14:textId="7CE854BA" w:rsidR="000C7615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06E9569F" w14:textId="78076B30" w:rsidR="000C7615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8F4BFB" w14:paraId="49906D0D" w14:textId="40ACBDBF" w:rsidTr="00401E2B">
        <w:tc>
          <w:tcPr>
            <w:tcW w:w="867" w:type="dxa"/>
          </w:tcPr>
          <w:p w14:paraId="44DA6793" w14:textId="7720DB36" w:rsidR="000C7615" w:rsidRPr="00401E2B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200" w:type="dxa"/>
          </w:tcPr>
          <w:p w14:paraId="09C444CF" w14:textId="12D1200A" w:rsidR="000C7615" w:rsidRPr="00401E2B" w:rsidRDefault="000C7615" w:rsidP="000C761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sz w:val="24"/>
                <w:szCs w:val="24"/>
              </w:rPr>
              <w:t>Gibt es eine Übersicht aller gelagerten Gefahrstoffe inklusive der zugehörigen Sicherheitsdatenblätter?</w:t>
            </w:r>
          </w:p>
        </w:tc>
        <w:tc>
          <w:tcPr>
            <w:tcW w:w="709" w:type="dxa"/>
          </w:tcPr>
          <w:p w14:paraId="5C0DDF72" w14:textId="4FA807F3" w:rsidR="000C7615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DF813C4" w14:textId="7C45C453" w:rsidR="000C7615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8F4BFB" w14:paraId="3C74EBB3" w14:textId="711B15B3" w:rsidTr="00401E2B">
        <w:tc>
          <w:tcPr>
            <w:tcW w:w="867" w:type="dxa"/>
          </w:tcPr>
          <w:p w14:paraId="59FB13FE" w14:textId="3FA6FB79" w:rsidR="000C7615" w:rsidRPr="00401E2B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200" w:type="dxa"/>
          </w:tcPr>
          <w:p w14:paraId="103AD7C9" w14:textId="146FD86D" w:rsidR="000C7615" w:rsidRPr="00401E2B" w:rsidRDefault="000C7615" w:rsidP="000C761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01E2B">
              <w:rPr>
                <w:rFonts w:ascii="Arial" w:eastAsiaTheme="minorHAnsi" w:hAnsi="Arial" w:cs="Arial"/>
                <w:sz w:val="24"/>
                <w:szCs w:val="24"/>
              </w:rPr>
              <w:t>Sind alle Notfallinformationen so verfügbar gemacht, dass sie auch bei Strom- und Serverausfällen zur Verfügung stehen?</w:t>
            </w:r>
          </w:p>
        </w:tc>
        <w:tc>
          <w:tcPr>
            <w:tcW w:w="709" w:type="dxa"/>
          </w:tcPr>
          <w:p w14:paraId="0F9755A3" w14:textId="1B899632" w:rsidR="000C7615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71C6984" w14:textId="0853C154" w:rsidR="000C7615" w:rsidRPr="00401E2B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</w:tbl>
    <w:p w14:paraId="2B6B13DE" w14:textId="77777777" w:rsidR="00E71F60" w:rsidRDefault="00E71F60" w:rsidP="00E71F60"/>
    <w:sectPr w:rsidR="00E71F60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C18EE" w14:textId="77777777" w:rsidR="008F6208" w:rsidRDefault="008F6208" w:rsidP="0024604F">
      <w:r>
        <w:separator/>
      </w:r>
    </w:p>
  </w:endnote>
  <w:endnote w:type="continuationSeparator" w:id="0">
    <w:p w14:paraId="6F9830F4" w14:textId="77777777" w:rsidR="008F6208" w:rsidRDefault="008F6208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5C9ED7A1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3A7A82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49BB7" w14:textId="77777777" w:rsidR="008F6208" w:rsidRDefault="008F6208" w:rsidP="0024604F">
      <w:r>
        <w:separator/>
      </w:r>
    </w:p>
  </w:footnote>
  <w:footnote w:type="continuationSeparator" w:id="0">
    <w:p w14:paraId="48F0F7F3" w14:textId="77777777" w:rsidR="008F6208" w:rsidRDefault="008F6208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78"/>
    <w:multiLevelType w:val="hybridMultilevel"/>
    <w:tmpl w:val="50D20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28FF09DA"/>
    <w:multiLevelType w:val="hybridMultilevel"/>
    <w:tmpl w:val="4BA0C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C64E9"/>
    <w:multiLevelType w:val="hybridMultilevel"/>
    <w:tmpl w:val="0D64F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07763"/>
    <w:multiLevelType w:val="hybridMultilevel"/>
    <w:tmpl w:val="D2E05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11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12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abstractNum w:abstractNumId="13" w15:restartNumberingAfterBreak="0">
    <w:nsid w:val="78B63F70"/>
    <w:multiLevelType w:val="hybridMultilevel"/>
    <w:tmpl w:val="16ECC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C7615"/>
    <w:rsid w:val="00120076"/>
    <w:rsid w:val="001217BB"/>
    <w:rsid w:val="001269FF"/>
    <w:rsid w:val="001321AB"/>
    <w:rsid w:val="00174BCB"/>
    <w:rsid w:val="001815DA"/>
    <w:rsid w:val="001D31B5"/>
    <w:rsid w:val="001E3A69"/>
    <w:rsid w:val="001E6365"/>
    <w:rsid w:val="00221FB4"/>
    <w:rsid w:val="0024604F"/>
    <w:rsid w:val="002B078F"/>
    <w:rsid w:val="002B6D1B"/>
    <w:rsid w:val="002F24A5"/>
    <w:rsid w:val="0032735C"/>
    <w:rsid w:val="00357E28"/>
    <w:rsid w:val="003860A5"/>
    <w:rsid w:val="003A7A82"/>
    <w:rsid w:val="003C4BF3"/>
    <w:rsid w:val="003F737C"/>
    <w:rsid w:val="00401E2B"/>
    <w:rsid w:val="00415B40"/>
    <w:rsid w:val="004163C1"/>
    <w:rsid w:val="00433C88"/>
    <w:rsid w:val="00450D24"/>
    <w:rsid w:val="004608C0"/>
    <w:rsid w:val="004B27EB"/>
    <w:rsid w:val="0063142E"/>
    <w:rsid w:val="00634FF1"/>
    <w:rsid w:val="0076766C"/>
    <w:rsid w:val="007B7114"/>
    <w:rsid w:val="007E1048"/>
    <w:rsid w:val="00821B51"/>
    <w:rsid w:val="00844F44"/>
    <w:rsid w:val="00852771"/>
    <w:rsid w:val="008A13F6"/>
    <w:rsid w:val="008C71F4"/>
    <w:rsid w:val="008E4191"/>
    <w:rsid w:val="008F6208"/>
    <w:rsid w:val="009151EE"/>
    <w:rsid w:val="009E66C3"/>
    <w:rsid w:val="009F2539"/>
    <w:rsid w:val="00A013B6"/>
    <w:rsid w:val="00B929AC"/>
    <w:rsid w:val="00B94A7D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F00668"/>
    <w:rsid w:val="00F55BD0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069795-FC85-4A39-B286-307A8153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959</Characters>
  <Application>Microsoft Office Word</Application>
  <DocSecurity>0</DocSecurity>
  <Lines>28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3</cp:revision>
  <dcterms:created xsi:type="dcterms:W3CDTF">2026-02-09T15:00:00Z</dcterms:created>
  <dcterms:modified xsi:type="dcterms:W3CDTF">2026-02-09T15:00:00Z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