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D8148" w14:textId="30ACAA9B" w:rsidR="00074113" w:rsidRPr="008F53FB" w:rsidRDefault="00D93F96" w:rsidP="00134CC1">
      <w:pPr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  <w:t>(MUSTER-)</w:t>
      </w:r>
      <w:r w:rsidR="00C54EBD" w:rsidRPr="008F53FB"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  <w:t>ARBEITSANWEISUNG</w:t>
      </w:r>
      <w:r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  <w:t xml:space="preserve"> </w:t>
      </w:r>
      <w:r w:rsidR="00C54EBD" w:rsidRPr="008F53FB">
        <w:rPr>
          <w:rFonts w:asciiTheme="majorHAnsi" w:hAnsiTheme="majorHAnsi" w:cstheme="majorHAnsi"/>
          <w:b/>
          <w:bCs/>
          <w:color w:val="28ABE2" w:themeColor="accent2" w:themeShade="BF"/>
          <w:sz w:val="40"/>
          <w:szCs w:val="40"/>
          <w:shd w:val="clear" w:color="auto" w:fill="FFFFFF"/>
        </w:rPr>
        <w:t>MATERIALBESTELLUNG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6"/>
      </w:tblGrid>
      <w:tr w:rsidR="008F53FB" w14:paraId="6DE33BC7" w14:textId="77777777">
        <w:trPr>
          <w:trHeight w:val="60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170" w:type="dxa"/>
              <w:bottom w:w="113" w:type="dxa"/>
              <w:right w:w="170" w:type="dxa"/>
            </w:tcMar>
          </w:tcPr>
          <w:p w14:paraId="4C798B56" w14:textId="77777777" w:rsidR="008F53FB" w:rsidRDefault="008F53FB">
            <w:pPr>
              <w:pStyle w:val="TabZwischenueberschriftpH2Tabelle"/>
            </w:pPr>
            <w:r>
              <w:rPr>
                <w:color w:val="000000"/>
              </w:rPr>
              <w:t>Materialbestellung – (Muster-)Arbeitsanweisung</w:t>
            </w:r>
          </w:p>
        </w:tc>
      </w:tr>
      <w:tr w:rsidR="008F53FB" w14:paraId="13801F55" w14:textId="77777777">
        <w:trPr>
          <w:trHeight w:val="60"/>
        </w:trPr>
        <w:tc>
          <w:tcPr>
            <w:tcW w:w="99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43D1" w14:textId="77777777" w:rsidR="008F53FB" w:rsidRPr="008F53FB" w:rsidRDefault="008F53FB">
            <w:pPr>
              <w:pStyle w:val="TabFliesstextpFToTabelle"/>
              <w:rPr>
                <w:b/>
                <w:bCs/>
                <w:sz w:val="19"/>
                <w:szCs w:val="19"/>
              </w:rPr>
            </w:pPr>
            <w:r w:rsidRPr="008F53FB">
              <w:rPr>
                <w:b/>
                <w:bCs/>
                <w:sz w:val="19"/>
                <w:szCs w:val="19"/>
              </w:rPr>
              <w:t>Bei der Materialbestellung achtet der verantwortliche Mitarbeiter auf Folgendes:</w:t>
            </w:r>
          </w:p>
          <w:p w14:paraId="642B92CC" w14:textId="797062F5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r w:rsidRPr="008F53FB">
              <w:rPr>
                <w:sz w:val="19"/>
                <w:szCs w:val="19"/>
                <w:lang w:val="en-US"/>
              </w:rPr>
              <w:t xml:space="preserve">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verantwortlichen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Mitarbeiter und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deren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Vertretung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sind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in den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Stellen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>-/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Funktionsbeschreibungen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festgelegt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>.</w:t>
            </w:r>
          </w:p>
          <w:p w14:paraId="76AB8F32" w14:textId="4EE1278C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r w:rsidRPr="008F53FB">
              <w:rPr>
                <w:sz w:val="19"/>
                <w:szCs w:val="19"/>
                <w:lang w:val="en-US"/>
              </w:rPr>
              <w:t xml:space="preserve">Der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Mindest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- und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Höchstbestand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für 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entsprechenden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Materialien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ist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festgelegt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>.</w:t>
            </w:r>
          </w:p>
          <w:p w14:paraId="2EA1715E" w14:textId="2EB70432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proofErr w:type="spellStart"/>
            <w:r w:rsidRPr="008F53FB">
              <w:rPr>
                <w:sz w:val="19"/>
                <w:szCs w:val="19"/>
                <w:lang w:val="en-US"/>
              </w:rPr>
              <w:t>Daraus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ergibt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sich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: 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Mindestmenge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, 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nicht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unterschritten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werden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darf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, und 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Differenz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des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Bestandes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zur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Höchstmenge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ist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die Menge, die Sie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bestellen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müssen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Außerdem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ist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sichergestellt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bei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welchem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Materialbestand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Bestellung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spätestens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ausgelöst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werden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muss.</w:t>
            </w:r>
          </w:p>
          <w:p w14:paraId="0286F4E6" w14:textId="3E28BFF1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proofErr w:type="spellStart"/>
            <w:r w:rsidRPr="008F53FB">
              <w:rPr>
                <w:sz w:val="19"/>
                <w:szCs w:val="19"/>
                <w:lang w:val="en-US"/>
              </w:rPr>
              <w:t>Regelmäßiger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Bestellrhythmus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: 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Bestellungen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erfolgen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x-mal pro Quartal.</w:t>
            </w:r>
          </w:p>
          <w:p w14:paraId="0E6DD58D" w14:textId="3C5848DB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r w:rsidRPr="008F53FB">
              <w:rPr>
                <w:sz w:val="19"/>
                <w:szCs w:val="19"/>
                <w:lang w:val="en-US"/>
              </w:rPr>
              <w:t xml:space="preserve">Legen Sie den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Zeitpunkt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der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Bestellungen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genau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fest.</w:t>
            </w:r>
          </w:p>
          <w:p w14:paraId="26A64C55" w14:textId="21EFDE44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proofErr w:type="spellStart"/>
            <w:r w:rsidRPr="008F53FB">
              <w:rPr>
                <w:sz w:val="19"/>
                <w:szCs w:val="19"/>
                <w:lang w:val="en-US"/>
              </w:rPr>
              <w:t>Erarbeiten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Sie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Bestelllisten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für 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einzelnen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Lieferanten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nachdem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Sie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überprüft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haben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ob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das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zu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bestellende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Material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auch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tatsächlich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gebraucht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wird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>.</w:t>
            </w:r>
          </w:p>
          <w:p w14:paraId="54CB15A5" w14:textId="0A2E8EFA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proofErr w:type="spellStart"/>
            <w:r w:rsidRPr="008F53FB">
              <w:rPr>
                <w:sz w:val="19"/>
                <w:szCs w:val="19"/>
                <w:lang w:val="en-US"/>
              </w:rPr>
              <w:t>Führen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Sie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Verhandlungen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mit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Anbietern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ob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ggf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Preisnachlässe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über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Mischkalkulation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möglich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sind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Dadurch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kann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die „</w:t>
            </w:r>
            <w:proofErr w:type="spellStart"/>
            <w:proofErr w:type="gramStart"/>
            <w:r w:rsidRPr="008F53FB">
              <w:rPr>
                <w:sz w:val="19"/>
                <w:szCs w:val="19"/>
                <w:lang w:val="en-US"/>
              </w:rPr>
              <w:t>Gesamtbestellung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“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nur</w:t>
            </w:r>
            <w:proofErr w:type="spellEnd"/>
            <w:proofErr w:type="gram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noch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bei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wenigen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Hauptlieferanten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erfolgen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. </w:t>
            </w:r>
          </w:p>
          <w:p w14:paraId="0E0A40B3" w14:textId="372FD01B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proofErr w:type="spellStart"/>
            <w:r w:rsidRPr="008F53FB">
              <w:rPr>
                <w:sz w:val="19"/>
                <w:szCs w:val="19"/>
                <w:lang w:val="en-US"/>
              </w:rPr>
              <w:t>Bestellungen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werden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nur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bei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den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zugelassenen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Lieferanten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durchgeführt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>!</w:t>
            </w:r>
          </w:p>
          <w:p w14:paraId="3A60B9C4" w14:textId="404F79FE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rtl/>
                <w:lang w:bidi="ar-YE"/>
              </w:rPr>
            </w:pPr>
            <w:r w:rsidRPr="008F53FB">
              <w:rPr>
                <w:sz w:val="19"/>
                <w:szCs w:val="19"/>
                <w:lang w:bidi="ar-YE"/>
              </w:rPr>
              <w:t>Überprüfen Sie beim Wareneingang die Ware anhand der Bestellliste und des Lieferscheins</w:t>
            </w:r>
            <w:r w:rsidRPr="008F53FB">
              <w:rPr>
                <w:rFonts w:cs="Times New Roman"/>
                <w:sz w:val="19"/>
                <w:szCs w:val="19"/>
                <w:rtl/>
                <w:lang w:bidi="ar-YE"/>
              </w:rPr>
              <w:t xml:space="preserve">. </w:t>
            </w:r>
          </w:p>
          <w:p w14:paraId="2BC36A86" w14:textId="4407EB7A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r w:rsidRPr="008F53FB">
              <w:rPr>
                <w:sz w:val="19"/>
                <w:szCs w:val="19"/>
                <w:lang w:val="en-US"/>
              </w:rPr>
              <w:t xml:space="preserve">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Haltbarkeitsdaten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werden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schon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beim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Wareneingang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überprüft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. Der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abgezeichnete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Lieferschein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wird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in dem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dafür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vorgesehenen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Ordner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abgeheftet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>.</w:t>
            </w:r>
          </w:p>
          <w:p w14:paraId="02DA53C0" w14:textId="7EE177DD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proofErr w:type="spellStart"/>
            <w:r w:rsidRPr="008F53FB">
              <w:rPr>
                <w:sz w:val="19"/>
                <w:szCs w:val="19"/>
                <w:lang w:val="en-US"/>
              </w:rPr>
              <w:t>Rechnungen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werden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immer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, bevor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sie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beglichen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werden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mit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dem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abgezeichneten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Lieferschein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verglichen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>.</w:t>
            </w:r>
          </w:p>
          <w:p w14:paraId="0CCBA1A7" w14:textId="2AC0639B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  <w:lang w:val="en-US"/>
              </w:rPr>
            </w:pPr>
            <w:r w:rsidRPr="008F53FB">
              <w:rPr>
                <w:sz w:val="19"/>
                <w:szCs w:val="19"/>
                <w:lang w:val="en-US"/>
              </w:rPr>
              <w:t xml:space="preserve">Zur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Zahlung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wird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Rechnung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der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Buchhaltung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oder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dem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verantwortlichen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Kollegen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vorgelegt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. Dieser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Vorgang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wird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zügig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durchgeführt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und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abgeschlossen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sodass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das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Zahlungsziel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eingehalten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und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ggf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Skonto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eingeräumt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werden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kann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>.</w:t>
            </w:r>
          </w:p>
          <w:p w14:paraId="7B054049" w14:textId="3A4100B5" w:rsidR="008F53FB" w:rsidRPr="008F53FB" w:rsidRDefault="008F53FB" w:rsidP="00D93F96">
            <w:pPr>
              <w:pStyle w:val="TabAufzaehlungBulletpAUFuTabelle"/>
              <w:numPr>
                <w:ilvl w:val="0"/>
                <w:numId w:val="20"/>
              </w:numPr>
              <w:tabs>
                <w:tab w:val="clear" w:pos="198"/>
                <w:tab w:val="clear" w:pos="227"/>
                <w:tab w:val="left" w:pos="342"/>
                <w:tab w:val="left" w:pos="483"/>
              </w:tabs>
              <w:ind w:left="483" w:hanging="425"/>
              <w:rPr>
                <w:sz w:val="19"/>
                <w:szCs w:val="19"/>
              </w:rPr>
            </w:pPr>
            <w:proofErr w:type="spellStart"/>
            <w:r w:rsidRPr="008F53FB">
              <w:rPr>
                <w:sz w:val="19"/>
                <w:szCs w:val="19"/>
                <w:lang w:val="en-US"/>
              </w:rPr>
              <w:t>Führen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Sie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eine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regelmäßige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Lieferantenbewertung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durch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siehe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F53FB">
              <w:rPr>
                <w:sz w:val="19"/>
                <w:szCs w:val="19"/>
                <w:lang w:val="en-US"/>
              </w:rPr>
              <w:t>Seite</w:t>
            </w:r>
            <w:proofErr w:type="spellEnd"/>
            <w:r w:rsidRPr="008F53FB">
              <w:rPr>
                <w:sz w:val="19"/>
                <w:szCs w:val="19"/>
                <w:lang w:val="en-US"/>
              </w:rPr>
              <w:t xml:space="preserve"> 6).</w:t>
            </w:r>
          </w:p>
        </w:tc>
      </w:tr>
    </w:tbl>
    <w:p w14:paraId="54154448" w14:textId="77777777" w:rsidR="00952FF3" w:rsidRDefault="00952FF3" w:rsidP="00134CC1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</w:p>
    <w:sectPr w:rsidR="00952FF3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557F2" w14:textId="77777777" w:rsidR="0048035B" w:rsidRDefault="0048035B" w:rsidP="008B0457">
      <w:pPr>
        <w:spacing w:line="240" w:lineRule="auto"/>
      </w:pPr>
      <w:r>
        <w:separator/>
      </w:r>
    </w:p>
  </w:endnote>
  <w:endnote w:type="continuationSeparator" w:id="0">
    <w:p w14:paraId="538AEDE5" w14:textId="77777777" w:rsidR="0048035B" w:rsidRDefault="0048035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LTStd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LTStd-BoldCn">
    <w:altName w:val="Calibri"/>
    <w:charset w:val="4D"/>
    <w:family w:val="auto"/>
    <w:pitch w:val="default"/>
    <w:sig w:usb0="00000003" w:usb1="00000000" w:usb2="00000000" w:usb3="00000000" w:csb0="00000001" w:csb1="00000000"/>
  </w:font>
  <w:font w:name="Zapf Dingbats">
    <w:altName w:val="Wingdings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3EA2" w14:textId="3FFB7D97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7D3B343" wp14:editId="3F9107A7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783BC7">
      <w:rPr>
        <w:rFonts w:asciiTheme="majorHAnsi" w:hAnsiTheme="majorHAnsi" w:cstheme="majorHAnsi"/>
        <w:sz w:val="18"/>
        <w:lang w:bidi="de-DE"/>
      </w:rPr>
      <w:t>2</w:t>
    </w:r>
    <w:r w:rsidR="00D93F96">
      <w:rPr>
        <w:rFonts w:asciiTheme="majorHAnsi" w:hAnsiTheme="majorHAnsi" w:cstheme="majorHAnsi"/>
        <w:sz w:val="18"/>
        <w:lang w:bidi="de-DE"/>
      </w:rPr>
      <w:t>6</w:t>
    </w:r>
    <w:r w:rsidR="009435CB">
      <w:rPr>
        <w:rFonts w:asciiTheme="majorHAnsi" w:hAnsiTheme="majorHAnsi" w:cstheme="majorHAnsi"/>
        <w:sz w:val="18"/>
        <w:lang w:bidi="de-DE"/>
      </w:rPr>
      <w:t xml:space="preserve"> Safety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D93F96">
      <w:rPr>
        <w:rFonts w:asciiTheme="majorHAnsi" w:hAnsiTheme="majorHAnsi" w:cstheme="majorHAnsi"/>
        <w:sz w:val="18"/>
        <w:lang w:bidi="de-DE"/>
      </w:rPr>
      <w:t>Renate Tief</w:t>
    </w:r>
  </w:p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94C11" w14:textId="77777777" w:rsidR="0048035B" w:rsidRDefault="0048035B" w:rsidP="008B0457">
      <w:pPr>
        <w:spacing w:line="240" w:lineRule="auto"/>
      </w:pPr>
      <w:r>
        <w:separator/>
      </w:r>
    </w:p>
  </w:footnote>
  <w:footnote w:type="continuationSeparator" w:id="0">
    <w:p w14:paraId="1237EF46" w14:textId="77777777" w:rsidR="0048035B" w:rsidRDefault="0048035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2E13" w14:textId="260A731A" w:rsidR="00C67D68" w:rsidRDefault="00D93F9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C170AE4" wp14:editId="351656BC">
          <wp:simplePos x="0" y="0"/>
          <wp:positionH relativeFrom="margin">
            <wp:posOffset>51435</wp:posOffset>
          </wp:positionH>
          <wp:positionV relativeFrom="paragraph">
            <wp:posOffset>266700</wp:posOffset>
          </wp:positionV>
          <wp:extent cx="2301875" cy="570865"/>
          <wp:effectExtent l="0" t="0" r="3175" b="635"/>
          <wp:wrapThrough wrapText="bothSides">
            <wp:wrapPolygon edited="0">
              <wp:start x="536" y="0"/>
              <wp:lineTo x="0" y="2162"/>
              <wp:lineTo x="0" y="9370"/>
              <wp:lineTo x="179" y="15137"/>
              <wp:lineTo x="536" y="20903"/>
              <wp:lineTo x="894" y="20903"/>
              <wp:lineTo x="2860" y="20903"/>
              <wp:lineTo x="21451" y="18741"/>
              <wp:lineTo x="21451" y="2162"/>
              <wp:lineTo x="2503" y="0"/>
              <wp:lineTo x="536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87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79EE7486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1A7F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777F64"/>
    <w:multiLevelType w:val="multilevel"/>
    <w:tmpl w:val="F56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0CFA"/>
    <w:multiLevelType w:val="multilevel"/>
    <w:tmpl w:val="E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94A0C"/>
    <w:multiLevelType w:val="hybridMultilevel"/>
    <w:tmpl w:val="D12C1C04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DF1EA5"/>
    <w:multiLevelType w:val="hybridMultilevel"/>
    <w:tmpl w:val="AA1C8DF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4414869"/>
    <w:multiLevelType w:val="multilevel"/>
    <w:tmpl w:val="67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D7EDD"/>
    <w:multiLevelType w:val="multilevel"/>
    <w:tmpl w:val="88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C2F63"/>
    <w:multiLevelType w:val="hybridMultilevel"/>
    <w:tmpl w:val="46EEA68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388050F6"/>
    <w:multiLevelType w:val="hybridMultilevel"/>
    <w:tmpl w:val="82E4FC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B674D"/>
    <w:multiLevelType w:val="hybridMultilevel"/>
    <w:tmpl w:val="753E2610"/>
    <w:lvl w:ilvl="0" w:tplc="68308FB4">
      <w:numFmt w:val="bullet"/>
      <w:lvlText w:val=""/>
      <w:lvlJc w:val="left"/>
      <w:pPr>
        <w:ind w:left="720" w:hanging="360"/>
      </w:pPr>
      <w:rPr>
        <w:rFonts w:ascii="Symbol" w:eastAsia="Arial" w:hAnsi="Symbol" w:cs="Frutiger LT Std 57 C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E1201"/>
    <w:multiLevelType w:val="multilevel"/>
    <w:tmpl w:val="CD6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3068D2"/>
    <w:multiLevelType w:val="hybridMultilevel"/>
    <w:tmpl w:val="0D4091A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F7461"/>
    <w:multiLevelType w:val="multilevel"/>
    <w:tmpl w:val="FB7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70CDC"/>
    <w:multiLevelType w:val="multilevel"/>
    <w:tmpl w:val="1A4E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372745"/>
    <w:multiLevelType w:val="hybridMultilevel"/>
    <w:tmpl w:val="60B0B9F0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138916044">
    <w:abstractNumId w:val="13"/>
  </w:num>
  <w:num w:numId="2" w16cid:durableId="1744521731">
    <w:abstractNumId w:val="15"/>
  </w:num>
  <w:num w:numId="3" w16cid:durableId="946423965">
    <w:abstractNumId w:val="16"/>
  </w:num>
  <w:num w:numId="4" w16cid:durableId="503250951">
    <w:abstractNumId w:val="4"/>
  </w:num>
  <w:num w:numId="5" w16cid:durableId="1391927742">
    <w:abstractNumId w:val="18"/>
  </w:num>
  <w:num w:numId="6" w16cid:durableId="1479565592">
    <w:abstractNumId w:val="1"/>
  </w:num>
  <w:num w:numId="7" w16cid:durableId="599026937">
    <w:abstractNumId w:val="0"/>
  </w:num>
  <w:num w:numId="8" w16cid:durableId="896355225">
    <w:abstractNumId w:val="19"/>
  </w:num>
  <w:num w:numId="9" w16cid:durableId="1818186031">
    <w:abstractNumId w:val="2"/>
  </w:num>
  <w:num w:numId="10" w16cid:durableId="525368805">
    <w:abstractNumId w:val="12"/>
  </w:num>
  <w:num w:numId="11" w16cid:durableId="1319768241">
    <w:abstractNumId w:val="7"/>
  </w:num>
  <w:num w:numId="12" w16cid:durableId="1149324812">
    <w:abstractNumId w:val="3"/>
  </w:num>
  <w:num w:numId="13" w16cid:durableId="163397153">
    <w:abstractNumId w:val="17"/>
  </w:num>
  <w:num w:numId="14" w16cid:durableId="213542446">
    <w:abstractNumId w:val="8"/>
  </w:num>
  <w:num w:numId="15" w16cid:durableId="1221557393">
    <w:abstractNumId w:val="9"/>
  </w:num>
  <w:num w:numId="16" w16cid:durableId="231358540">
    <w:abstractNumId w:val="14"/>
  </w:num>
  <w:num w:numId="17" w16cid:durableId="488905082">
    <w:abstractNumId w:val="6"/>
  </w:num>
  <w:num w:numId="18" w16cid:durableId="246310014">
    <w:abstractNumId w:val="5"/>
  </w:num>
  <w:num w:numId="19" w16cid:durableId="1131217392">
    <w:abstractNumId w:val="20"/>
  </w:num>
  <w:num w:numId="20" w16cid:durableId="325213648">
    <w:abstractNumId w:val="10"/>
  </w:num>
  <w:num w:numId="21" w16cid:durableId="1360817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3C1B"/>
    <w:rsid w:val="0003156E"/>
    <w:rsid w:val="00041246"/>
    <w:rsid w:val="00073791"/>
    <w:rsid w:val="00074113"/>
    <w:rsid w:val="000809DC"/>
    <w:rsid w:val="000C3CF8"/>
    <w:rsid w:val="000C6BB6"/>
    <w:rsid w:val="000D23DD"/>
    <w:rsid w:val="000D3B4F"/>
    <w:rsid w:val="000D650D"/>
    <w:rsid w:val="000F4930"/>
    <w:rsid w:val="00134CC1"/>
    <w:rsid w:val="001421CE"/>
    <w:rsid w:val="00181F90"/>
    <w:rsid w:val="001941AF"/>
    <w:rsid w:val="00194289"/>
    <w:rsid w:val="00194FA3"/>
    <w:rsid w:val="001C1ABF"/>
    <w:rsid w:val="001D31B8"/>
    <w:rsid w:val="001E3795"/>
    <w:rsid w:val="001E3BF3"/>
    <w:rsid w:val="001F141F"/>
    <w:rsid w:val="001F1FFE"/>
    <w:rsid w:val="0024435A"/>
    <w:rsid w:val="002514EC"/>
    <w:rsid w:val="0025736E"/>
    <w:rsid w:val="00266A87"/>
    <w:rsid w:val="002A0996"/>
    <w:rsid w:val="002B1C90"/>
    <w:rsid w:val="002D5565"/>
    <w:rsid w:val="00342F00"/>
    <w:rsid w:val="00371CCC"/>
    <w:rsid w:val="003A77CE"/>
    <w:rsid w:val="003B0869"/>
    <w:rsid w:val="003E1D21"/>
    <w:rsid w:val="003F6527"/>
    <w:rsid w:val="00410D82"/>
    <w:rsid w:val="0048035B"/>
    <w:rsid w:val="00485433"/>
    <w:rsid w:val="004B2834"/>
    <w:rsid w:val="004B4161"/>
    <w:rsid w:val="004E4C76"/>
    <w:rsid w:val="0050231E"/>
    <w:rsid w:val="00525EDD"/>
    <w:rsid w:val="00551260"/>
    <w:rsid w:val="00585E82"/>
    <w:rsid w:val="005A5989"/>
    <w:rsid w:val="005C063C"/>
    <w:rsid w:val="005C6C88"/>
    <w:rsid w:val="006259A1"/>
    <w:rsid w:val="006675AC"/>
    <w:rsid w:val="00675F78"/>
    <w:rsid w:val="00680C6B"/>
    <w:rsid w:val="00692D18"/>
    <w:rsid w:val="006C0196"/>
    <w:rsid w:val="006C0AED"/>
    <w:rsid w:val="006C27EC"/>
    <w:rsid w:val="006C444D"/>
    <w:rsid w:val="006E28C4"/>
    <w:rsid w:val="006E569C"/>
    <w:rsid w:val="007310BA"/>
    <w:rsid w:val="00755AE8"/>
    <w:rsid w:val="00765DE8"/>
    <w:rsid w:val="00781EAF"/>
    <w:rsid w:val="00783BC7"/>
    <w:rsid w:val="007B039D"/>
    <w:rsid w:val="007C6DA2"/>
    <w:rsid w:val="007E1C29"/>
    <w:rsid w:val="007E6EE4"/>
    <w:rsid w:val="007F4319"/>
    <w:rsid w:val="00803EB9"/>
    <w:rsid w:val="0081053B"/>
    <w:rsid w:val="00811147"/>
    <w:rsid w:val="0081748C"/>
    <w:rsid w:val="00856CFF"/>
    <w:rsid w:val="008879C2"/>
    <w:rsid w:val="00897D1E"/>
    <w:rsid w:val="008A0E3A"/>
    <w:rsid w:val="008B0457"/>
    <w:rsid w:val="008B117C"/>
    <w:rsid w:val="008F53FB"/>
    <w:rsid w:val="009435CB"/>
    <w:rsid w:val="00952FF3"/>
    <w:rsid w:val="00953E38"/>
    <w:rsid w:val="00962859"/>
    <w:rsid w:val="009852EE"/>
    <w:rsid w:val="009D1CC4"/>
    <w:rsid w:val="00A15940"/>
    <w:rsid w:val="00A27BBA"/>
    <w:rsid w:val="00A326FA"/>
    <w:rsid w:val="00A33DC5"/>
    <w:rsid w:val="00A34118"/>
    <w:rsid w:val="00AD2609"/>
    <w:rsid w:val="00AE53AB"/>
    <w:rsid w:val="00B04DF0"/>
    <w:rsid w:val="00B11398"/>
    <w:rsid w:val="00B23F60"/>
    <w:rsid w:val="00B27F29"/>
    <w:rsid w:val="00B5232C"/>
    <w:rsid w:val="00B55E3C"/>
    <w:rsid w:val="00B70F4B"/>
    <w:rsid w:val="00B71948"/>
    <w:rsid w:val="00B734EF"/>
    <w:rsid w:val="00B75C23"/>
    <w:rsid w:val="00B80F1F"/>
    <w:rsid w:val="00BB5447"/>
    <w:rsid w:val="00C25E77"/>
    <w:rsid w:val="00C54EBD"/>
    <w:rsid w:val="00C667B7"/>
    <w:rsid w:val="00C67D68"/>
    <w:rsid w:val="00C74E4F"/>
    <w:rsid w:val="00C75F88"/>
    <w:rsid w:val="00C97A41"/>
    <w:rsid w:val="00CA4574"/>
    <w:rsid w:val="00CA6A57"/>
    <w:rsid w:val="00CB27BD"/>
    <w:rsid w:val="00CF2762"/>
    <w:rsid w:val="00CF5171"/>
    <w:rsid w:val="00D00296"/>
    <w:rsid w:val="00D141B9"/>
    <w:rsid w:val="00D33467"/>
    <w:rsid w:val="00D41208"/>
    <w:rsid w:val="00D519D5"/>
    <w:rsid w:val="00D62A6E"/>
    <w:rsid w:val="00D8158C"/>
    <w:rsid w:val="00D93F96"/>
    <w:rsid w:val="00D969AD"/>
    <w:rsid w:val="00D971C3"/>
    <w:rsid w:val="00DA49EA"/>
    <w:rsid w:val="00DE71EF"/>
    <w:rsid w:val="00DF78B0"/>
    <w:rsid w:val="00E02C2C"/>
    <w:rsid w:val="00E145DE"/>
    <w:rsid w:val="00E27BD7"/>
    <w:rsid w:val="00E3554C"/>
    <w:rsid w:val="00E42E27"/>
    <w:rsid w:val="00E47EE6"/>
    <w:rsid w:val="00E564D3"/>
    <w:rsid w:val="00E6136F"/>
    <w:rsid w:val="00E71676"/>
    <w:rsid w:val="00E82BB5"/>
    <w:rsid w:val="00E86FAE"/>
    <w:rsid w:val="00E94312"/>
    <w:rsid w:val="00E95943"/>
    <w:rsid w:val="00EA0412"/>
    <w:rsid w:val="00EA29F0"/>
    <w:rsid w:val="00EE14B4"/>
    <w:rsid w:val="00EF5335"/>
    <w:rsid w:val="00EF6DC7"/>
    <w:rsid w:val="00F06AF6"/>
    <w:rsid w:val="00F5564F"/>
    <w:rsid w:val="00F6243E"/>
    <w:rsid w:val="00F77ECE"/>
    <w:rsid w:val="00F93095"/>
    <w:rsid w:val="00FA0816"/>
    <w:rsid w:val="00FB0971"/>
    <w:rsid w:val="00FB4A42"/>
    <w:rsid w:val="00FC7D79"/>
    <w:rsid w:val="00FE0836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3791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  <w:tabs>
        <w:tab w:val="num" w:pos="360"/>
      </w:tabs>
      <w:ind w:left="0" w:firstLine="0"/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TabUeberschriftpH1Tabelle">
    <w:name w:val="Tab_Ueberschrift_pH1 (Tabelle)"/>
    <w:basedOn w:val="KeinAbsatzformat"/>
    <w:uiPriority w:val="99"/>
    <w:rsid w:val="00897D1E"/>
    <w:pPr>
      <w:suppressAutoHyphens/>
      <w:spacing w:before="57" w:line="240" w:lineRule="atLeast"/>
    </w:pPr>
    <w:rPr>
      <w:rFonts w:ascii="FrutigerLTStd-Bold" w:hAnsi="FrutigerLTStd-Bold" w:cs="FrutigerLTStd-Bold"/>
      <w:b/>
      <w:bCs/>
      <w:color w:val="FFFFFF"/>
      <w:sz w:val="28"/>
      <w:szCs w:val="28"/>
    </w:rPr>
  </w:style>
  <w:style w:type="paragraph" w:customStyle="1" w:styleId="TabZwischenueberschriftpH2Tabelle">
    <w:name w:val="Tab_Zwischenueberschrift_pH2 (Tabelle)"/>
    <w:basedOn w:val="KeinAbsatzformat"/>
    <w:uiPriority w:val="99"/>
    <w:rsid w:val="00897D1E"/>
    <w:pPr>
      <w:suppressAutoHyphens/>
      <w:spacing w:before="57" w:line="258" w:lineRule="atLeast"/>
    </w:pPr>
    <w:rPr>
      <w:rFonts w:ascii="FrutigerLTStd-Bold" w:hAnsi="FrutigerLTStd-Bold" w:cs="FrutigerLTStd-Bold"/>
      <w:b/>
      <w:bCs/>
      <w:color w:val="FFFFFF"/>
      <w:sz w:val="20"/>
      <w:szCs w:val="20"/>
    </w:rPr>
  </w:style>
  <w:style w:type="paragraph" w:customStyle="1" w:styleId="TabZwischenueberschriftzentriertpH2Tabelle">
    <w:name w:val="Tab_Zwischenueberschrift_zentriert_pH2 (Tabelle)"/>
    <w:basedOn w:val="TabZwischenueberschriftpH2Tabelle"/>
    <w:uiPriority w:val="99"/>
    <w:rsid w:val="00897D1E"/>
    <w:pPr>
      <w:jc w:val="center"/>
    </w:pPr>
  </w:style>
  <w:style w:type="paragraph" w:customStyle="1" w:styleId="TabFliesstextpFToTabelle">
    <w:name w:val="Tab_Fliesstext_pFTo (Tabelle)"/>
    <w:basedOn w:val="Standard"/>
    <w:uiPriority w:val="99"/>
    <w:rsid w:val="00897D1E"/>
    <w:pPr>
      <w:suppressAutoHyphens/>
      <w:autoSpaceDE w:val="0"/>
      <w:autoSpaceDN w:val="0"/>
      <w:adjustRightInd w:val="0"/>
      <w:spacing w:before="57" w:after="0" w:line="258" w:lineRule="atLeast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character" w:customStyle="1" w:styleId="kursivcITA">
    <w:name w:val="kursiv_cITA"/>
    <w:uiPriority w:val="99"/>
    <w:rsid w:val="00897D1E"/>
  </w:style>
  <w:style w:type="character" w:customStyle="1" w:styleId="fettcBO">
    <w:name w:val="fett_cBO"/>
    <w:uiPriority w:val="99"/>
    <w:rsid w:val="00897D1E"/>
    <w:rPr>
      <w:rFonts w:ascii="FrutigerLTStd-BoldCn" w:hAnsi="FrutigerLTStd-BoldCn" w:cs="FrutigerLTStd-BoldCn"/>
      <w:b/>
      <w:bCs/>
      <w:w w:val="95"/>
    </w:rPr>
  </w:style>
  <w:style w:type="paragraph" w:customStyle="1" w:styleId="TabNummerierungpAUFsTabelle">
    <w:name w:val="Tab_Nummerierung_pAUFs (Tabelle)"/>
    <w:basedOn w:val="TabFliesstextpFToTabelle"/>
    <w:uiPriority w:val="99"/>
    <w:rsid w:val="00953E38"/>
    <w:pPr>
      <w:tabs>
        <w:tab w:val="left" w:pos="170"/>
        <w:tab w:val="left" w:pos="227"/>
      </w:tabs>
      <w:ind w:left="57" w:right="28" w:hanging="57"/>
      <w:jc w:val="right"/>
    </w:pPr>
    <w:rPr>
      <w:w w:val="1"/>
    </w:rPr>
  </w:style>
  <w:style w:type="paragraph" w:customStyle="1" w:styleId="TabKaestchenweissp000Tabelle">
    <w:name w:val="Tab_Kaestchen_weiss_p000 (Tabelle)"/>
    <w:basedOn w:val="KeinAbsatzformat"/>
    <w:uiPriority w:val="99"/>
    <w:rsid w:val="00FE0836"/>
    <w:pPr>
      <w:suppressAutoHyphens/>
      <w:spacing w:before="57" w:line="258" w:lineRule="atLeast"/>
      <w:jc w:val="center"/>
    </w:pPr>
    <w:rPr>
      <w:rFonts w:ascii="Zapf Dingbats" w:hAnsi="Zapf Dingbats" w:cs="Zapf Dingbats"/>
      <w:color w:val="FFFFFF"/>
      <w:sz w:val="20"/>
      <w:szCs w:val="20"/>
    </w:rPr>
  </w:style>
  <w:style w:type="paragraph" w:customStyle="1" w:styleId="TabAufzaehlungBulletpAUFuTabelle">
    <w:name w:val="Tab_Aufzaehlung_Bullet_pAUFu (Tabelle)"/>
    <w:basedOn w:val="Standard"/>
    <w:uiPriority w:val="99"/>
    <w:rsid w:val="004E4C76"/>
    <w:pPr>
      <w:tabs>
        <w:tab w:val="left" w:pos="198"/>
        <w:tab w:val="left" w:pos="227"/>
      </w:tabs>
      <w:suppressAutoHyphens/>
      <w:autoSpaceDE w:val="0"/>
      <w:autoSpaceDN w:val="0"/>
      <w:adjustRightInd w:val="0"/>
      <w:spacing w:before="57" w:after="0" w:line="258" w:lineRule="atLeast"/>
      <w:ind w:left="198" w:hanging="198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table" w:styleId="Tabellenraster">
    <w:name w:val="Table Grid"/>
    <w:basedOn w:val="NormaleTabelle"/>
    <w:rsid w:val="004E4C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</Template>
  <TotalTime>0</TotalTime>
  <Pages>1</Pages>
  <Words>247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2025-12-09T10:01:00Z</dcterms:created>
  <dcterms:modified xsi:type="dcterms:W3CDTF">2025-12-16T12:07:00Z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