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B58C" w14:textId="2FE0D5EB" w:rsidR="00E71F60" w:rsidRDefault="00F73786" w:rsidP="00A013B6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selbst-test: gefahrstoffe</w:t>
      </w:r>
    </w:p>
    <w:p w14:paraId="65F460DB" w14:textId="5DAF10F4" w:rsidR="00EC20B5" w:rsidRPr="00EC20B5" w:rsidRDefault="00EC20B5" w:rsidP="00EC20B5">
      <w:pPr>
        <w:widowControl/>
        <w:adjustRightInd w:val="0"/>
        <w:rPr>
          <w:rFonts w:ascii="Arial" w:hAnsi="Arial" w:cs="Arial"/>
          <w:b/>
          <w:bCs/>
          <w:caps/>
          <w:color w:val="00B0F0"/>
          <w:lang w:bidi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0"/>
        <w:gridCol w:w="6438"/>
        <w:gridCol w:w="1147"/>
        <w:gridCol w:w="1073"/>
      </w:tblGrid>
      <w:tr w:rsidR="00B3658A" w:rsidRPr="00F73786" w14:paraId="64356FC5" w14:textId="3F43C756" w:rsidTr="00B3658A">
        <w:tc>
          <w:tcPr>
            <w:tcW w:w="6988" w:type="dxa"/>
            <w:gridSpan w:val="2"/>
          </w:tcPr>
          <w:p w14:paraId="4E1236D7" w14:textId="77777777" w:rsidR="00F73786" w:rsidRPr="00F73786" w:rsidRDefault="00F73786" w:rsidP="00F73786">
            <w:pPr>
              <w:adjustRightInd w:val="0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Selbst-Test: Decke deine blinden Flecken auf –</w:t>
            </w:r>
          </w:p>
          <w:p w14:paraId="321377A2" w14:textId="2BCEA801" w:rsidR="00B3658A" w:rsidRPr="00F73786" w:rsidRDefault="00F73786" w:rsidP="00F73786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wie sicher arbeitest du wirklich mit Gefahrstoffen?</w:t>
            </w:r>
          </w:p>
        </w:tc>
        <w:tc>
          <w:tcPr>
            <w:tcW w:w="1147" w:type="dxa"/>
          </w:tcPr>
          <w:p w14:paraId="2FE145D0" w14:textId="77777777" w:rsidR="00B3658A" w:rsidRPr="00F73786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 </w:t>
            </w:r>
          </w:p>
        </w:tc>
        <w:tc>
          <w:tcPr>
            <w:tcW w:w="1073" w:type="dxa"/>
          </w:tcPr>
          <w:p w14:paraId="70400CBC" w14:textId="77777777" w:rsidR="00B3658A" w:rsidRPr="00F73786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Nein</w:t>
            </w:r>
          </w:p>
        </w:tc>
      </w:tr>
      <w:tr w:rsidR="00B3658A" w:rsidRPr="00F73786" w14:paraId="37DCC7C5" w14:textId="7C84D333" w:rsidTr="00B3658A">
        <w:tc>
          <w:tcPr>
            <w:tcW w:w="550" w:type="dxa"/>
          </w:tcPr>
          <w:p w14:paraId="79B9241A" w14:textId="47064D3C" w:rsidR="00B3658A" w:rsidRPr="00F73786" w:rsidRDefault="00E32399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3658A"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38" w:type="dxa"/>
          </w:tcPr>
          <w:p w14:paraId="4EAAF23B" w14:textId="2FA9ABCC" w:rsidR="00B3658A" w:rsidRPr="00F73786" w:rsidRDefault="00F73786" w:rsidP="00F73786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Welches Risiko von einem Gefahrstoff ausgeht, hängt von seinen Eigenschaften ab. Kennst du die der Stoffe, mit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denen du umgehst? Weißt du, welche Aufnahmepfade bei den einzelnen Stoffen relevant sind und wie du dich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schützen musst?</w:t>
            </w:r>
          </w:p>
        </w:tc>
        <w:tc>
          <w:tcPr>
            <w:tcW w:w="1147" w:type="dxa"/>
          </w:tcPr>
          <w:p w14:paraId="0F1B93C8" w14:textId="77777777" w:rsidR="00B3658A" w:rsidRPr="00F73786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30012B09" w14:textId="77777777" w:rsidR="00B3658A" w:rsidRPr="00F73786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E5DE2" w:rsidRPr="00F73786" w14:paraId="6832C7C2" w14:textId="77777777" w:rsidTr="00B3658A">
        <w:tc>
          <w:tcPr>
            <w:tcW w:w="550" w:type="dxa"/>
          </w:tcPr>
          <w:p w14:paraId="4509FA96" w14:textId="1C281C9B" w:rsidR="00EE5DE2" w:rsidRPr="00F73786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EE5DE2" w:rsidRPr="00F737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438" w:type="dxa"/>
          </w:tcPr>
          <w:p w14:paraId="2ADF33D2" w14:textId="1FC3AAC8" w:rsidR="00EE5DE2" w:rsidRPr="00F73786" w:rsidRDefault="00F73786" w:rsidP="00F7378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73786">
              <w:rPr>
                <w:rFonts w:ascii="Arial" w:eastAsiaTheme="minorHAnsi" w:hAnsi="Arial" w:cs="Arial"/>
                <w:sz w:val="24"/>
                <w:szCs w:val="24"/>
              </w:rPr>
              <w:t xml:space="preserve">Setzt du die Vorgaben der </w:t>
            </w:r>
            <w:bookmarkStart w:id="0" w:name="_GoBack"/>
            <w:bookmarkEnd w:id="0"/>
            <w:r w:rsidRPr="00F73786">
              <w:rPr>
                <w:rFonts w:ascii="Arial" w:eastAsiaTheme="minorHAnsi" w:hAnsi="Arial" w:cs="Arial"/>
                <w:sz w:val="24"/>
                <w:szCs w:val="24"/>
              </w:rPr>
              <w:t>Gefahrstoffbetriebsanweisungen konsequent um? Trägst du vor allem immer die vorgeschriebene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PSA?</w:t>
            </w:r>
          </w:p>
        </w:tc>
        <w:tc>
          <w:tcPr>
            <w:tcW w:w="1147" w:type="dxa"/>
          </w:tcPr>
          <w:p w14:paraId="4FD3C545" w14:textId="2A904BAE" w:rsidR="00EE5DE2" w:rsidRPr="00F73786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0A43DAEF" w14:textId="7CB413D8" w:rsidR="00EE5DE2" w:rsidRPr="00F73786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E5DE2" w:rsidRPr="00F73786" w14:paraId="40CAEE42" w14:textId="77777777" w:rsidTr="00B3658A">
        <w:tc>
          <w:tcPr>
            <w:tcW w:w="550" w:type="dxa"/>
          </w:tcPr>
          <w:p w14:paraId="4927DF24" w14:textId="24BC9A2B" w:rsidR="00EE5DE2" w:rsidRPr="00F73786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438" w:type="dxa"/>
          </w:tcPr>
          <w:p w14:paraId="19A8540D" w14:textId="3A99B57B" w:rsidR="00EE5DE2" w:rsidRPr="00F73786" w:rsidRDefault="00F73786" w:rsidP="00F7378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Sorgst du beim Umfüllen von Gefahrstoffen in andere Gebinde immer dafür, dass klar erkennbar ist, was sich im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Gebinde befindet (Mindestangabe, Stoffname, Piktogramm)?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Hinweis: In Lebensmittelgefäße füllst du natürlich niemals Gefahrstoffe – korrekt?</w:t>
            </w:r>
          </w:p>
        </w:tc>
        <w:tc>
          <w:tcPr>
            <w:tcW w:w="1147" w:type="dxa"/>
          </w:tcPr>
          <w:p w14:paraId="69AD46BE" w14:textId="236A4A2B" w:rsidR="00EE5DE2" w:rsidRPr="00F73786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377FE6ED" w14:textId="3FAC2179" w:rsidR="00EE5DE2" w:rsidRPr="00F73786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E5DE2" w:rsidRPr="00F73786" w14:paraId="45211804" w14:textId="77777777" w:rsidTr="00B3658A">
        <w:tc>
          <w:tcPr>
            <w:tcW w:w="550" w:type="dxa"/>
          </w:tcPr>
          <w:p w14:paraId="74E2E50F" w14:textId="6A74EE7B" w:rsidR="00EE5DE2" w:rsidRPr="00F73786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438" w:type="dxa"/>
          </w:tcPr>
          <w:p w14:paraId="3F7A6783" w14:textId="661A7332" w:rsidR="00EE5DE2" w:rsidRPr="00F73786" w:rsidRDefault="00F73786" w:rsidP="00F7378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Verschließt du Gefahrstoffgebinde sofort, wenn du sie nicht mehr verwendest, damit nicht unnötig Dämpfe,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Stäube oder Leckagen freigesetzt werden?</w:t>
            </w:r>
          </w:p>
        </w:tc>
        <w:tc>
          <w:tcPr>
            <w:tcW w:w="1147" w:type="dxa"/>
          </w:tcPr>
          <w:p w14:paraId="55E1D831" w14:textId="498CEE3B" w:rsidR="00EE5DE2" w:rsidRPr="00F73786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542FB434" w14:textId="3E9C2E04" w:rsidR="00EE5DE2" w:rsidRPr="00F73786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E5DE2" w:rsidRPr="00F73786" w14:paraId="3DB8DD38" w14:textId="77777777" w:rsidTr="00B3658A">
        <w:tc>
          <w:tcPr>
            <w:tcW w:w="550" w:type="dxa"/>
          </w:tcPr>
          <w:p w14:paraId="6767E16E" w14:textId="55EFAD09" w:rsidR="00EE5DE2" w:rsidRPr="00F73786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438" w:type="dxa"/>
          </w:tcPr>
          <w:p w14:paraId="174028D5" w14:textId="4E689D05" w:rsidR="00EE5DE2" w:rsidRPr="00F73786" w:rsidRDefault="00F73786" w:rsidP="00F7378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Lagerst du Gefahrstoffe nur an den dafür vorgesehenen Plätzen und so, dass Gebinde nicht versehentlich herunterfallen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oder beschädigt werden können?</w:t>
            </w:r>
          </w:p>
        </w:tc>
        <w:tc>
          <w:tcPr>
            <w:tcW w:w="1147" w:type="dxa"/>
          </w:tcPr>
          <w:p w14:paraId="136B2E20" w14:textId="5D6EE237" w:rsidR="00EE5DE2" w:rsidRPr="00F73786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11D544B0" w14:textId="01E9400F" w:rsidR="00EE5DE2" w:rsidRPr="00F73786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E5DE2" w:rsidRPr="00F73786" w14:paraId="42990765" w14:textId="77777777" w:rsidTr="00B3658A">
        <w:tc>
          <w:tcPr>
            <w:tcW w:w="550" w:type="dxa"/>
          </w:tcPr>
          <w:p w14:paraId="65968365" w14:textId="0D56B5F2" w:rsidR="00EE5DE2" w:rsidRPr="00F73786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438" w:type="dxa"/>
          </w:tcPr>
          <w:p w14:paraId="5A3B9747" w14:textId="1C72A865" w:rsidR="00EE5DE2" w:rsidRPr="00F73786" w:rsidRDefault="00F73786" w:rsidP="00F7378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Gefahrstoff ist nicht gleich Gefahrstoff – weißt du genau, welche Schutzhandschuhe oder welcher Atemschutz bei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welchem Gefahrstoff zu tragen ist? Achtest du darauf, dass Schutzbrillen bei Tätigkeiten mit flüssigen Gefahrstoffen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immer geschlossen sein müssen (Taucherbrillen)?</w:t>
            </w:r>
          </w:p>
        </w:tc>
        <w:tc>
          <w:tcPr>
            <w:tcW w:w="1147" w:type="dxa"/>
          </w:tcPr>
          <w:p w14:paraId="3B27539D" w14:textId="6C4B3E63" w:rsidR="00EE5DE2" w:rsidRPr="00F73786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6EBF7930" w14:textId="1DA54BFD" w:rsidR="00EE5DE2" w:rsidRPr="00F73786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E5DE2" w:rsidRPr="00F73786" w14:paraId="11982BFA" w14:textId="77777777" w:rsidTr="00B3658A">
        <w:tc>
          <w:tcPr>
            <w:tcW w:w="550" w:type="dxa"/>
          </w:tcPr>
          <w:p w14:paraId="03ABDD97" w14:textId="49601B9D" w:rsidR="00EE5DE2" w:rsidRPr="00F73786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438" w:type="dxa"/>
          </w:tcPr>
          <w:p w14:paraId="736093AA" w14:textId="6D5A82C0" w:rsidR="00EE5DE2" w:rsidRPr="00F73786" w:rsidRDefault="00F73786" w:rsidP="00F7378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Prüfst du deine PSA auf sichtbare Mängel oder Beschädigungen, bevor du sie benutzt? Tauschst du verschmutzte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oder defekte PSA rechtzeitig aus? Hinweis: Schutzhandschuhe gegen chemische Gefahren sind in der Regel spätestens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 xml:space="preserve">am Ende einer Schicht (nach 8 Stunden) zu entsorgen. Beachtest du auch die </w:t>
            </w:r>
            <w:proofErr w:type="spellStart"/>
            <w:r w:rsidRPr="00F73786">
              <w:rPr>
                <w:rFonts w:ascii="Arial" w:eastAsiaTheme="minorHAnsi" w:hAnsi="Arial" w:cs="Arial"/>
                <w:sz w:val="24"/>
                <w:szCs w:val="24"/>
              </w:rPr>
              <w:t>Durchdringzeiten</w:t>
            </w:r>
            <w:proofErr w:type="spellEnd"/>
            <w:r w:rsidRPr="00F73786">
              <w:rPr>
                <w:rFonts w:ascii="Arial" w:eastAsiaTheme="minorHAnsi" w:hAnsi="Arial" w:cs="Arial"/>
                <w:sz w:val="24"/>
                <w:szCs w:val="24"/>
              </w:rPr>
              <w:t>?</w:t>
            </w:r>
          </w:p>
        </w:tc>
        <w:tc>
          <w:tcPr>
            <w:tcW w:w="1147" w:type="dxa"/>
          </w:tcPr>
          <w:p w14:paraId="5B0DC83C" w14:textId="6960E23A" w:rsidR="00EE5DE2" w:rsidRPr="00F73786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3AC779CB" w14:textId="44D3C98D" w:rsidR="00EE5DE2" w:rsidRPr="00F73786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E5DE2" w:rsidRPr="00F73786" w14:paraId="6DAC1625" w14:textId="77777777" w:rsidTr="00B3658A">
        <w:tc>
          <w:tcPr>
            <w:tcW w:w="550" w:type="dxa"/>
          </w:tcPr>
          <w:p w14:paraId="5155D25A" w14:textId="13D86CBD" w:rsidR="00EE5DE2" w:rsidRPr="00F73786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438" w:type="dxa"/>
          </w:tcPr>
          <w:p w14:paraId="6473B823" w14:textId="094E8097" w:rsidR="00EE5DE2" w:rsidRPr="00F73786" w:rsidRDefault="00F73786" w:rsidP="00C224A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Bewahrst du deine PSA in Pausen und bei Arbeitsende hygienisch auf, z. B. in einer Plastikbox oder einem Beutel?</w:t>
            </w:r>
          </w:p>
        </w:tc>
        <w:tc>
          <w:tcPr>
            <w:tcW w:w="1147" w:type="dxa"/>
          </w:tcPr>
          <w:p w14:paraId="466BF0B4" w14:textId="17FCC6EC" w:rsidR="00EE5DE2" w:rsidRPr="00F73786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35FE0900" w14:textId="57681D68" w:rsidR="00EE5DE2" w:rsidRPr="00F73786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E5DE2" w:rsidRPr="00F73786" w14:paraId="7025F2D5" w14:textId="77777777" w:rsidTr="00B3658A">
        <w:tc>
          <w:tcPr>
            <w:tcW w:w="550" w:type="dxa"/>
          </w:tcPr>
          <w:p w14:paraId="4890A9B1" w14:textId="1E6870FF" w:rsidR="00EE5DE2" w:rsidRPr="00F73786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438" w:type="dxa"/>
          </w:tcPr>
          <w:p w14:paraId="70CAB866" w14:textId="514EBD1B" w:rsidR="00EE5DE2" w:rsidRPr="00F73786" w:rsidRDefault="00F73786" w:rsidP="00F7378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Achtest du darauf, keine Lebensmittel oder (offenen) Getränke in Räumen zu dir zu nehmen, in denen mit Gefahrstoffen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gearbeitet wird?</w:t>
            </w:r>
          </w:p>
        </w:tc>
        <w:tc>
          <w:tcPr>
            <w:tcW w:w="1147" w:type="dxa"/>
          </w:tcPr>
          <w:p w14:paraId="2C111DBD" w14:textId="5D3BA95E" w:rsidR="00EE5DE2" w:rsidRPr="00F73786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27AE98BB" w14:textId="54DD6D7D" w:rsidR="00EE5DE2" w:rsidRPr="00F73786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C224AC" w:rsidRPr="00F73786" w14:paraId="4688A639" w14:textId="77777777" w:rsidTr="00B3658A">
        <w:tc>
          <w:tcPr>
            <w:tcW w:w="550" w:type="dxa"/>
          </w:tcPr>
          <w:p w14:paraId="1CFA6E78" w14:textId="152F356F" w:rsidR="00C224AC" w:rsidRPr="00F73786" w:rsidRDefault="00E32399" w:rsidP="00C224AC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6438" w:type="dxa"/>
          </w:tcPr>
          <w:p w14:paraId="2FA76308" w14:textId="78D17134" w:rsidR="00F73786" w:rsidRPr="00F73786" w:rsidRDefault="00F73786" w:rsidP="00F7378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Wechselst du kontaminierte Arbeitskleidung / PSA umgehend und gibst du sie in die betriebliche Wäsche? Achtest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du darauf, Pausenräume nur mit sauberer Arbeitskleidung zu betreten?</w:t>
            </w:r>
          </w:p>
          <w:p w14:paraId="4E6CB747" w14:textId="13D319A0" w:rsidR="00C224AC" w:rsidRPr="00F73786" w:rsidRDefault="00F73786" w:rsidP="00F7378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73786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Hinweis: Achte immer darauf, Gefahrstoffe nicht in unbelastete Arbeitsbereiche zu verschleppen. Wasche kontaminierte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Kleidung niemals zuhause.</w:t>
            </w:r>
          </w:p>
        </w:tc>
        <w:tc>
          <w:tcPr>
            <w:tcW w:w="1147" w:type="dxa"/>
          </w:tcPr>
          <w:p w14:paraId="3BBFF5C9" w14:textId="13C8916A" w:rsidR="00C224AC" w:rsidRPr="00F73786" w:rsidRDefault="00C224AC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□</w:t>
            </w:r>
          </w:p>
        </w:tc>
        <w:tc>
          <w:tcPr>
            <w:tcW w:w="1073" w:type="dxa"/>
          </w:tcPr>
          <w:p w14:paraId="4E44F570" w14:textId="107F599D" w:rsidR="00C224AC" w:rsidRPr="00F73786" w:rsidRDefault="00C224AC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C224AC" w:rsidRPr="00F73786" w14:paraId="0C8276DC" w14:textId="77777777" w:rsidTr="00B3658A">
        <w:tc>
          <w:tcPr>
            <w:tcW w:w="550" w:type="dxa"/>
          </w:tcPr>
          <w:p w14:paraId="1D15E59F" w14:textId="26393080" w:rsidR="00C224AC" w:rsidRPr="00F73786" w:rsidRDefault="00E32399" w:rsidP="00C224AC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6438" w:type="dxa"/>
          </w:tcPr>
          <w:p w14:paraId="6C16B623" w14:textId="40BD04A2" w:rsidR="00C224AC" w:rsidRPr="00F73786" w:rsidRDefault="00F73786" w:rsidP="00C224A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Wäschst du nach Tätigkeiten mit Gefahrstoffen die Hände, bevor du Pause machst oder in den Feierabend gehst?</w:t>
            </w:r>
          </w:p>
        </w:tc>
        <w:tc>
          <w:tcPr>
            <w:tcW w:w="1147" w:type="dxa"/>
          </w:tcPr>
          <w:p w14:paraId="3E565174" w14:textId="009DA82B" w:rsidR="00C224AC" w:rsidRPr="00F73786" w:rsidRDefault="00C224AC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107FA8FC" w14:textId="3B491BB7" w:rsidR="00C224AC" w:rsidRPr="00F73786" w:rsidRDefault="00C224AC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C224AC" w:rsidRPr="00F73786" w14:paraId="2356CD19" w14:textId="77777777" w:rsidTr="00B3658A">
        <w:tc>
          <w:tcPr>
            <w:tcW w:w="550" w:type="dxa"/>
          </w:tcPr>
          <w:p w14:paraId="609C4915" w14:textId="3D0C8592" w:rsidR="00C224AC" w:rsidRPr="00F73786" w:rsidRDefault="00E32399" w:rsidP="00C224AC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6438" w:type="dxa"/>
          </w:tcPr>
          <w:p w14:paraId="66AC8896" w14:textId="0ADA1A0E" w:rsidR="00C224AC" w:rsidRPr="00F73786" w:rsidRDefault="00F73786" w:rsidP="00F7378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Verwendest du die vom Betrieb zur Verfügung gestellten Hautschutzmittel, um besonders deine Hände vor den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73786">
              <w:rPr>
                <w:rFonts w:ascii="Arial" w:eastAsiaTheme="minorHAnsi" w:hAnsi="Arial" w:cs="Arial"/>
                <w:sz w:val="24"/>
                <w:szCs w:val="24"/>
              </w:rPr>
              <w:t>schädigenden Stoffen zu schützen?</w:t>
            </w:r>
          </w:p>
        </w:tc>
        <w:tc>
          <w:tcPr>
            <w:tcW w:w="1147" w:type="dxa"/>
          </w:tcPr>
          <w:p w14:paraId="0400DA28" w14:textId="7EB907C1" w:rsidR="00C224AC" w:rsidRPr="00F73786" w:rsidRDefault="00C224AC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2FBDE715" w14:textId="1B6B7F56" w:rsidR="00C224AC" w:rsidRPr="00F73786" w:rsidRDefault="00C224AC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786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</w:tbl>
    <w:p w14:paraId="2B6B13DE" w14:textId="77777777" w:rsidR="00E71F60" w:rsidRPr="00F73786" w:rsidRDefault="00E71F60" w:rsidP="00E32399">
      <w:pPr>
        <w:rPr>
          <w:rFonts w:ascii="Arial" w:hAnsi="Arial" w:cs="Arial"/>
          <w:sz w:val="24"/>
          <w:szCs w:val="24"/>
        </w:rPr>
      </w:pPr>
    </w:p>
    <w:sectPr w:rsidR="00E71F60" w:rsidRPr="00F73786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82D9F" w14:textId="77777777" w:rsidR="0097138B" w:rsidRDefault="0097138B" w:rsidP="0024604F">
      <w:r>
        <w:separator/>
      </w:r>
    </w:p>
  </w:endnote>
  <w:endnote w:type="continuationSeparator" w:id="0">
    <w:p w14:paraId="59D7E0B2" w14:textId="77777777" w:rsidR="0097138B" w:rsidRDefault="0097138B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3AAF80AE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1269FF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852771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852771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98833" w14:textId="77777777" w:rsidR="0097138B" w:rsidRDefault="0097138B" w:rsidP="0024604F">
      <w:r>
        <w:separator/>
      </w:r>
    </w:p>
  </w:footnote>
  <w:footnote w:type="continuationSeparator" w:id="0">
    <w:p w14:paraId="6D86EE44" w14:textId="77777777" w:rsidR="0097138B" w:rsidRDefault="0097138B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47771"/>
    <w:multiLevelType w:val="hybridMultilevel"/>
    <w:tmpl w:val="EE2CD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A6925"/>
    <w:rsid w:val="00120076"/>
    <w:rsid w:val="001217BB"/>
    <w:rsid w:val="001269FF"/>
    <w:rsid w:val="001321AB"/>
    <w:rsid w:val="001815DA"/>
    <w:rsid w:val="001D31B5"/>
    <w:rsid w:val="001E3A69"/>
    <w:rsid w:val="001E6365"/>
    <w:rsid w:val="00221FB4"/>
    <w:rsid w:val="0024604F"/>
    <w:rsid w:val="00275989"/>
    <w:rsid w:val="002B078F"/>
    <w:rsid w:val="002B6D1B"/>
    <w:rsid w:val="002C256D"/>
    <w:rsid w:val="002F24A5"/>
    <w:rsid w:val="003232B2"/>
    <w:rsid w:val="0032735C"/>
    <w:rsid w:val="00357E28"/>
    <w:rsid w:val="003860A5"/>
    <w:rsid w:val="003C4BF3"/>
    <w:rsid w:val="003F737C"/>
    <w:rsid w:val="0041456F"/>
    <w:rsid w:val="00415B40"/>
    <w:rsid w:val="004163C1"/>
    <w:rsid w:val="00433C88"/>
    <w:rsid w:val="00450D24"/>
    <w:rsid w:val="004608C0"/>
    <w:rsid w:val="004B27EB"/>
    <w:rsid w:val="00587197"/>
    <w:rsid w:val="0063142E"/>
    <w:rsid w:val="00634FF1"/>
    <w:rsid w:val="0072081D"/>
    <w:rsid w:val="0076766C"/>
    <w:rsid w:val="007B7114"/>
    <w:rsid w:val="007E1048"/>
    <w:rsid w:val="00821B51"/>
    <w:rsid w:val="00844F44"/>
    <w:rsid w:val="00852771"/>
    <w:rsid w:val="008A13F6"/>
    <w:rsid w:val="008A1FC5"/>
    <w:rsid w:val="008A2A2D"/>
    <w:rsid w:val="008C71F4"/>
    <w:rsid w:val="008E4191"/>
    <w:rsid w:val="0097138B"/>
    <w:rsid w:val="009E66C3"/>
    <w:rsid w:val="009F2539"/>
    <w:rsid w:val="00A013B6"/>
    <w:rsid w:val="00B31C85"/>
    <w:rsid w:val="00B3658A"/>
    <w:rsid w:val="00B929AC"/>
    <w:rsid w:val="00B94A7D"/>
    <w:rsid w:val="00BC66CB"/>
    <w:rsid w:val="00BD233E"/>
    <w:rsid w:val="00C03BC5"/>
    <w:rsid w:val="00C224AC"/>
    <w:rsid w:val="00C377EB"/>
    <w:rsid w:val="00C53075"/>
    <w:rsid w:val="00C604F5"/>
    <w:rsid w:val="00CC28DD"/>
    <w:rsid w:val="00CF3623"/>
    <w:rsid w:val="00D05E13"/>
    <w:rsid w:val="00D129C7"/>
    <w:rsid w:val="00D17E7F"/>
    <w:rsid w:val="00D200D8"/>
    <w:rsid w:val="00D223E3"/>
    <w:rsid w:val="00D42C82"/>
    <w:rsid w:val="00D60E34"/>
    <w:rsid w:val="00D84A5F"/>
    <w:rsid w:val="00D9549B"/>
    <w:rsid w:val="00D97FCA"/>
    <w:rsid w:val="00DA56E6"/>
    <w:rsid w:val="00DC1EA0"/>
    <w:rsid w:val="00DD4238"/>
    <w:rsid w:val="00DE3F53"/>
    <w:rsid w:val="00E0478A"/>
    <w:rsid w:val="00E24C03"/>
    <w:rsid w:val="00E32339"/>
    <w:rsid w:val="00E32399"/>
    <w:rsid w:val="00E60D79"/>
    <w:rsid w:val="00E623D5"/>
    <w:rsid w:val="00E71F60"/>
    <w:rsid w:val="00EC20B5"/>
    <w:rsid w:val="00EE5DE2"/>
    <w:rsid w:val="00F00668"/>
    <w:rsid w:val="00F55BD0"/>
    <w:rsid w:val="00F650B1"/>
    <w:rsid w:val="00F73786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AE7D55-8D74-45D0-ACC7-0D5DCA60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2</cp:revision>
  <dcterms:created xsi:type="dcterms:W3CDTF">2025-07-29T10:48:00Z</dcterms:created>
  <dcterms:modified xsi:type="dcterms:W3CDTF">2025-07-29T10:48:00Z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