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25DE1F6A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0C0C28" w:rsidRPr="000C0C2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Ist der Arbeitsplatz auch für </w:t>
      </w:r>
      <w:r w:rsidR="00BE4D6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br/>
      </w:r>
      <w:r w:rsidR="000C0C28" w:rsidRPr="000C0C28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Linkshänder geeignet?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77777777" w:rsidR="00634FF1" w:rsidRPr="004B4781" w:rsidRDefault="00634FF1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4B4781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4B4781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4B4781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4B4781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</w:tr>
      <w:tr w:rsidR="00C5602E" w:rsidRPr="00B615E3" w14:paraId="77E6B11B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6F63A37" w14:textId="423AB10E" w:rsidR="00634FF1" w:rsidRPr="00546305" w:rsidRDefault="00634FF1" w:rsidP="003C677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0F242B65" w14:textId="6B7FA4F9" w:rsidR="00634FF1" w:rsidRPr="00546305" w:rsidRDefault="00790BE7" w:rsidP="00790BE7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0BE7">
              <w:rPr>
                <w:rFonts w:ascii="Arial" w:eastAsiaTheme="minorHAnsi" w:hAnsi="Arial" w:cs="Arial"/>
                <w:sz w:val="24"/>
                <w:szCs w:val="24"/>
              </w:rPr>
              <w:t>Arbeitsplatz allgemein: Können alle Tätigkeiten am Arbeitsplatz grundsätzlich auch mit der linken Hand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90BE7">
              <w:rPr>
                <w:rFonts w:ascii="Arial" w:eastAsiaTheme="minorHAnsi" w:hAnsi="Arial" w:cs="Arial"/>
                <w:sz w:val="24"/>
                <w:szCs w:val="24"/>
              </w:rPr>
              <w:t>ausgeführt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634FF1" w:rsidRPr="00546305" w:rsidRDefault="00634FF1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061E0136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68255BA2" w14:textId="5105B083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7C393562" w14:textId="38C7F645" w:rsidR="00634FF1" w:rsidRPr="00546305" w:rsidRDefault="007814C2" w:rsidP="007814C2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14C2">
              <w:rPr>
                <w:rFonts w:ascii="Arial" w:eastAsiaTheme="minorHAnsi" w:hAnsi="Arial" w:cs="Arial"/>
                <w:sz w:val="24"/>
                <w:szCs w:val="24"/>
              </w:rPr>
              <w:t>Ergonomie: Sind die Arbeitsplätze so angeordnet, dass linkshändige Mitarbeitende weder „umgreifen“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814C2">
              <w:rPr>
                <w:rFonts w:ascii="Arial" w:eastAsiaTheme="minorHAnsi" w:hAnsi="Arial" w:cs="Arial"/>
                <w:sz w:val="24"/>
                <w:szCs w:val="24"/>
              </w:rPr>
              <w:t>noch verdreht arbeiten müssen?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446D157F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48213907" w14:textId="625168A8" w:rsidR="00634FF1" w:rsidRPr="00546305" w:rsidRDefault="00634FF1" w:rsidP="00634F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3B4C91E5" w14:textId="220E30F1" w:rsidR="00634FF1" w:rsidRPr="00546305" w:rsidRDefault="007814C2" w:rsidP="007814C2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814C2">
              <w:rPr>
                <w:rFonts w:ascii="Arial" w:eastAsiaTheme="minorHAnsi" w:hAnsi="Arial" w:cs="Arial"/>
                <w:sz w:val="24"/>
                <w:szCs w:val="24"/>
              </w:rPr>
              <w:t>Bildschirmarbeitsplätze: Sind Eingabegeräte (Maus, Tastatur) flexibel nutzbar? Erlauben sie ein individuelles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814C2">
              <w:rPr>
                <w:rFonts w:ascii="Arial" w:eastAsiaTheme="minorHAnsi" w:hAnsi="Arial" w:cs="Arial"/>
                <w:sz w:val="24"/>
                <w:szCs w:val="24"/>
              </w:rPr>
              <w:t>Umstellen (z. B. Maus links, Shortcuts anpassen)?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634FF1" w:rsidRPr="00546305" w:rsidRDefault="00634FF1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512C654E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0C0134" w14:textId="7524EE1D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. </w:t>
            </w:r>
          </w:p>
        </w:tc>
        <w:tc>
          <w:tcPr>
            <w:tcW w:w="7371" w:type="dxa"/>
            <w:shd w:val="clear" w:color="auto" w:fill="auto"/>
          </w:tcPr>
          <w:p w14:paraId="0D96FF1C" w14:textId="06B52157" w:rsidR="003C31F8" w:rsidRPr="00546305" w:rsidRDefault="007814C2" w:rsidP="007814C2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7814C2">
              <w:rPr>
                <w:rFonts w:ascii="Arial" w:eastAsiaTheme="minorHAnsi" w:hAnsi="Arial" w:cs="Arial"/>
                <w:sz w:val="24"/>
                <w:szCs w:val="24"/>
              </w:rPr>
              <w:t>Werkzeuge: Sind die für den Arbeitsplatz vorgesehenen Handwerkzeuge wie Messer oder Bohrmaschinen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814C2">
              <w:rPr>
                <w:rFonts w:ascii="Arial" w:eastAsiaTheme="minorHAnsi" w:hAnsi="Arial" w:cs="Arial"/>
                <w:sz w:val="24"/>
                <w:szCs w:val="24"/>
              </w:rPr>
              <w:t>auch für die linkshändige Nutzung geeignet (z. B. entsprechende Griffgestaltung, Anordnung der Bedienelemente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7814C2">
              <w:rPr>
                <w:rFonts w:ascii="Arial" w:eastAsiaTheme="minorHAnsi" w:hAnsi="Arial" w:cs="Arial"/>
                <w:sz w:val="24"/>
                <w:szCs w:val="24"/>
              </w:rPr>
              <w:t>etc.)?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6E2E001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5E94BDEB" w14:textId="7F281228" w:rsidR="003C31F8" w:rsidRPr="00546305" w:rsidRDefault="004533C6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B46C0A8" w14:textId="2C689AE7" w:rsidR="003C31F8" w:rsidRPr="00546305" w:rsidRDefault="00510FB7" w:rsidP="00510FB7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FB7">
              <w:rPr>
                <w:rFonts w:ascii="Arial" w:eastAsiaTheme="minorHAnsi" w:hAnsi="Arial" w:cs="Arial"/>
                <w:sz w:val="24"/>
                <w:szCs w:val="24"/>
              </w:rPr>
              <w:t>Maschinen: Sind die Bedienelemente an Maschinen und Anlagen für beide Hände erreichbar? Hinweis: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FB7">
              <w:rPr>
                <w:rFonts w:ascii="Arial" w:eastAsiaTheme="minorHAnsi" w:hAnsi="Arial" w:cs="Arial"/>
                <w:sz w:val="24"/>
                <w:szCs w:val="24"/>
              </w:rPr>
              <w:t>Dies gilt in besonderem Maße für Not-Halt-Taster. Diese sollten unbedingt zentral angebracht sein und mit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FB7">
              <w:rPr>
                <w:rFonts w:ascii="Arial" w:eastAsiaTheme="minorHAnsi" w:hAnsi="Arial" w:cs="Arial"/>
                <w:sz w:val="24"/>
                <w:szCs w:val="24"/>
              </w:rPr>
              <w:t>beiden Händen gleichermaßen bedient werden können.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C5602E" w:rsidRPr="00B615E3" w14:paraId="2A5F0D87" w14:textId="77777777" w:rsidTr="003C677C">
        <w:trPr>
          <w:trHeight w:val="227"/>
        </w:trPr>
        <w:tc>
          <w:tcPr>
            <w:tcW w:w="534" w:type="dxa"/>
            <w:shd w:val="clear" w:color="auto" w:fill="auto"/>
          </w:tcPr>
          <w:p w14:paraId="3EA6B903" w14:textId="57201CBE" w:rsidR="003C31F8" w:rsidRPr="00546305" w:rsidRDefault="001D7030" w:rsidP="003C31F8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3C31F8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1D14792A" w14:textId="10E66FBA" w:rsidR="003C31F8" w:rsidRPr="00546305" w:rsidRDefault="00510FB7" w:rsidP="00510FB7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510FB7">
              <w:rPr>
                <w:rFonts w:ascii="Arial" w:eastAsiaTheme="minorHAnsi" w:hAnsi="Arial" w:cs="Arial"/>
                <w:sz w:val="24"/>
                <w:szCs w:val="24"/>
              </w:rPr>
              <w:t>Kleidung: Sind PSA, Arbeitskleidung und zugehörige Ausrüstung wie Holster für Linkshänder geeignet,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510FB7">
              <w:rPr>
                <w:rFonts w:ascii="Arial" w:eastAsiaTheme="minorHAnsi" w:hAnsi="Arial" w:cs="Arial"/>
                <w:sz w:val="24"/>
                <w:szCs w:val="24"/>
              </w:rPr>
              <w:t>z. B. hinsichtlich der Anordnung von Taschen?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3C31F8" w:rsidRPr="00546305" w:rsidRDefault="003C31F8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510FB7" w:rsidRPr="00B615E3" w14:paraId="428591FF" w14:textId="77777777" w:rsidTr="0050240F">
        <w:trPr>
          <w:trHeight w:val="227"/>
        </w:trPr>
        <w:tc>
          <w:tcPr>
            <w:tcW w:w="9322" w:type="dxa"/>
            <w:gridSpan w:val="4"/>
            <w:shd w:val="clear" w:color="auto" w:fill="auto"/>
          </w:tcPr>
          <w:p w14:paraId="375B3ED0" w14:textId="3C65BBB0" w:rsidR="00510FB7" w:rsidRPr="00546305" w:rsidRDefault="00BE4D69" w:rsidP="00BE4D69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BE4D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Auswertung: </w:t>
            </w:r>
            <w:r w:rsidRPr="00BE4D6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Je mehr Fragen Sie mit „Nein“ beantwortet haben, desto höher sind die Belastungen und Risiken für Linkshänder an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BE4D6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den entsprechenden Arbeitsplätzen. Versuchen Sie, die Nachteile durch Umgestaltung der Arbeitsplätze zu reduzieren, und berücksichtigen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 xml:space="preserve"> </w:t>
            </w:r>
            <w:r w:rsidRPr="00BE4D69">
              <w:rPr>
                <w:rFonts w:ascii="Arial" w:eastAsia="Times New Roman" w:hAnsi="Arial" w:cs="Arial"/>
                <w:bCs/>
                <w:sz w:val="24"/>
                <w:szCs w:val="24"/>
                <w:lang w:eastAsia="de-DE"/>
              </w:rPr>
              <w:t>Sie die Händigkeit zukünftig bei der Beschaffung von neuen Arbeitsmitteln.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BB72B" w14:textId="77777777" w:rsidR="00ED75EF" w:rsidRDefault="00ED75EF" w:rsidP="0024604F">
      <w:r>
        <w:separator/>
      </w:r>
    </w:p>
  </w:endnote>
  <w:endnote w:type="continuationSeparator" w:id="0">
    <w:p w14:paraId="50DC8B82" w14:textId="77777777" w:rsidR="00ED75EF" w:rsidRDefault="00ED75EF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028F7" w14:textId="77777777" w:rsidR="004B4781" w:rsidRDefault="004B47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35E3C18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1559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4B4781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780DF" w14:textId="77777777" w:rsidR="004B4781" w:rsidRDefault="004B47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D3649" w14:textId="77777777" w:rsidR="00ED75EF" w:rsidRDefault="00ED75EF" w:rsidP="0024604F">
      <w:r>
        <w:separator/>
      </w:r>
    </w:p>
  </w:footnote>
  <w:footnote w:type="continuationSeparator" w:id="0">
    <w:p w14:paraId="58A90094" w14:textId="77777777" w:rsidR="00ED75EF" w:rsidRDefault="00ED75EF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6EE4" w14:textId="77777777" w:rsidR="004B4781" w:rsidRDefault="004B47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2D4FD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54D27" w14:textId="77777777" w:rsidR="004B4781" w:rsidRDefault="004B47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205101089">
    <w:abstractNumId w:val="10"/>
  </w:num>
  <w:num w:numId="2" w16cid:durableId="310722289">
    <w:abstractNumId w:val="7"/>
  </w:num>
  <w:num w:numId="3" w16cid:durableId="1869296635">
    <w:abstractNumId w:val="8"/>
  </w:num>
  <w:num w:numId="4" w16cid:durableId="708915481">
    <w:abstractNumId w:val="4"/>
  </w:num>
  <w:num w:numId="5" w16cid:durableId="1094013119">
    <w:abstractNumId w:val="1"/>
  </w:num>
  <w:num w:numId="6" w16cid:durableId="592201127">
    <w:abstractNumId w:val="2"/>
  </w:num>
  <w:num w:numId="7" w16cid:durableId="1965959695">
    <w:abstractNumId w:val="0"/>
  </w:num>
  <w:num w:numId="8" w16cid:durableId="138113460">
    <w:abstractNumId w:val="3"/>
  </w:num>
  <w:num w:numId="9" w16cid:durableId="1885287386">
    <w:abstractNumId w:val="5"/>
  </w:num>
  <w:num w:numId="10" w16cid:durableId="1951737763">
    <w:abstractNumId w:val="9"/>
  </w:num>
  <w:num w:numId="11" w16cid:durableId="1707632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0C0C28"/>
    <w:rsid w:val="001217BB"/>
    <w:rsid w:val="001321AB"/>
    <w:rsid w:val="00154EA6"/>
    <w:rsid w:val="001815DA"/>
    <w:rsid w:val="001B0888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4B4781"/>
    <w:rsid w:val="004E6B08"/>
    <w:rsid w:val="00510FB7"/>
    <w:rsid w:val="00546305"/>
    <w:rsid w:val="0063142E"/>
    <w:rsid w:val="00634FF1"/>
    <w:rsid w:val="00703947"/>
    <w:rsid w:val="0076766C"/>
    <w:rsid w:val="007814C2"/>
    <w:rsid w:val="00790BE7"/>
    <w:rsid w:val="007B7114"/>
    <w:rsid w:val="007E1048"/>
    <w:rsid w:val="00821B51"/>
    <w:rsid w:val="00844F44"/>
    <w:rsid w:val="008A13F6"/>
    <w:rsid w:val="008C71F4"/>
    <w:rsid w:val="008E4191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BE4D69"/>
    <w:rsid w:val="00C03BC5"/>
    <w:rsid w:val="00C24040"/>
    <w:rsid w:val="00C377EB"/>
    <w:rsid w:val="00C53075"/>
    <w:rsid w:val="00C5602E"/>
    <w:rsid w:val="00CC28DD"/>
    <w:rsid w:val="00CC33D0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45CBC"/>
    <w:rsid w:val="00E60D79"/>
    <w:rsid w:val="00EB19A2"/>
    <w:rsid w:val="00ED75EF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8</cp:revision>
  <dcterms:created xsi:type="dcterms:W3CDTF">2025-07-21T08:35:00Z</dcterms:created>
  <dcterms:modified xsi:type="dcterms:W3CDTF">2025-07-21T08:39:00Z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