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EB547" w14:textId="4AA258F4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0845BC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setzen Sie gerüste sicher ein?</w:t>
      </w: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708"/>
        <w:gridCol w:w="709"/>
      </w:tblGrid>
      <w:tr w:rsidR="00634FF1" w:rsidRPr="00495639" w14:paraId="3529F08F" w14:textId="77777777" w:rsidTr="003C677C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36FAB1E7" w14:textId="77777777" w:rsidR="00634FF1" w:rsidRPr="00A532C6" w:rsidRDefault="00634FF1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708" w:type="dxa"/>
            <w:shd w:val="clear" w:color="auto" w:fill="0070C0"/>
          </w:tcPr>
          <w:p w14:paraId="4A87CAAD" w14:textId="77777777" w:rsidR="00634FF1" w:rsidRPr="00A532C6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56772DEE" w14:textId="77777777" w:rsidR="00634FF1" w:rsidRPr="00A532C6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</w:tr>
      <w:tr w:rsidR="00C5602E" w:rsidRPr="00B615E3" w14:paraId="4E38753B" w14:textId="77777777" w:rsidTr="003C677C">
        <w:trPr>
          <w:trHeight w:val="227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4FE6369" w14:textId="15ECF7DD" w:rsidR="00634FF1" w:rsidRPr="00B615E3" w:rsidRDefault="000845BC" w:rsidP="00B615E3">
            <w:pPr>
              <w:pStyle w:val="Listenabsatz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bookmarkStart w:id="0" w:name="_GoBack"/>
            <w:bookmarkEnd w:id="0"/>
            <w:r w:rsidRPr="00B615E3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Errichten des Gerüsts</w:t>
            </w:r>
          </w:p>
        </w:tc>
      </w:tr>
      <w:tr w:rsidR="00C5602E" w:rsidRPr="00B615E3" w14:paraId="77E6B11B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6F63A37" w14:textId="77777777" w:rsidR="00634FF1" w:rsidRPr="00B615E3" w:rsidRDefault="00634FF1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 1.</w:t>
            </w:r>
          </w:p>
        </w:tc>
        <w:tc>
          <w:tcPr>
            <w:tcW w:w="7371" w:type="dxa"/>
            <w:shd w:val="clear" w:color="auto" w:fill="auto"/>
          </w:tcPr>
          <w:p w14:paraId="0F242B65" w14:textId="1BAB8F5B" w:rsidR="00634FF1" w:rsidRPr="00B615E3" w:rsidRDefault="000845BC" w:rsidP="00C5602E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Lassen Sie Gerüste immer durch Fachfirmen oder hierzu befähigte Personen Ihres Betriebs aufbauen?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A18C3E" w14:textId="1B9465FE" w:rsidR="00634FF1" w:rsidRPr="00B615E3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634FF1" w:rsidRPr="00B615E3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061E0136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8255BA2" w14:textId="5105B083" w:rsidR="00634FF1" w:rsidRPr="00B615E3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7C393562" w14:textId="41D7E1A0" w:rsidR="00634FF1" w:rsidRPr="00B615E3" w:rsidRDefault="000845BC" w:rsidP="000845BC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Werden die Gerüste nach Fertigstellung durch eine befähigte Person auf ordnungsgemäße Montage und</w:t>
            </w:r>
            <w:r w:rsidRPr="00B615E3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sichere Funktion geprüft?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9C1E125" w14:textId="4ADDA513" w:rsidR="00634FF1" w:rsidRPr="00B615E3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634FF1" w:rsidRPr="00B615E3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446D157F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48213907" w14:textId="625168A8" w:rsidR="00634FF1" w:rsidRPr="00B615E3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14:paraId="3B4C91E5" w14:textId="406BABD9" w:rsidR="00634FF1" w:rsidRPr="00B615E3" w:rsidRDefault="000845BC" w:rsidP="000845BC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Verwenden Sie nur solche Gerüste, an deren Zugängen die Dokumentation über die Prüfung (Gerüstfreigabe)</w:t>
            </w:r>
            <w:r w:rsidRPr="00B615E3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angebracht ist?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385D3B0" w14:textId="47CA9C98" w:rsidR="00634FF1" w:rsidRPr="00B615E3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634FF1" w:rsidRPr="00B615E3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0845BC" w:rsidRPr="00B615E3" w14:paraId="48CA7EE5" w14:textId="77777777" w:rsidTr="00444B5D">
        <w:trPr>
          <w:trHeight w:val="227"/>
        </w:trPr>
        <w:tc>
          <w:tcPr>
            <w:tcW w:w="9322" w:type="dxa"/>
            <w:gridSpan w:val="4"/>
            <w:shd w:val="clear" w:color="auto" w:fill="auto"/>
          </w:tcPr>
          <w:p w14:paraId="63AEED17" w14:textId="2007F53A" w:rsidR="000845BC" w:rsidRPr="00B615E3" w:rsidRDefault="000845BC" w:rsidP="000845BC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B. Eignung des Gerüsts für die geplanten Arbeiten</w:t>
            </w:r>
          </w:p>
        </w:tc>
      </w:tr>
      <w:tr w:rsidR="00C5602E" w:rsidRPr="00B615E3" w14:paraId="512C654E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E0C0134" w14:textId="4B605C0C" w:rsidR="003C31F8" w:rsidRPr="00B615E3" w:rsidRDefault="000845BC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C31F8"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. </w:t>
            </w:r>
          </w:p>
        </w:tc>
        <w:tc>
          <w:tcPr>
            <w:tcW w:w="7371" w:type="dxa"/>
            <w:shd w:val="clear" w:color="auto" w:fill="auto"/>
          </w:tcPr>
          <w:p w14:paraId="67E6BE73" w14:textId="77777777" w:rsidR="000845BC" w:rsidRPr="00B615E3" w:rsidRDefault="000845BC" w:rsidP="000845B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Prüfen Sie vor Beginn der Arbeiten, ob die Gerüstart zum vorgesehenen Einsatzzweck (Arbeits- oder</w:t>
            </w:r>
          </w:p>
          <w:p w14:paraId="0D96FF1C" w14:textId="1A252EBA" w:rsidR="003C31F8" w:rsidRPr="00B615E3" w:rsidRDefault="000845BC" w:rsidP="000845B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Schutzgerüst) passt?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C59921" w14:textId="083404A8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907D86" w14:textId="4EA35BC6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6E2E0017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E94BDEB" w14:textId="13B2F3C9" w:rsidR="003C31F8" w:rsidRPr="00B615E3" w:rsidRDefault="000845BC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 w:rsidR="003C31F8"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0B46C0A8" w14:textId="1CAA677C" w:rsidR="003C31F8" w:rsidRPr="00B615E3" w:rsidRDefault="000845BC" w:rsidP="000845B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Prüfen Sie außerdem, ob die Arbeiten unter Berücksichtigung der Last-, Breiten- und Höhenklassen sicher</w:t>
            </w:r>
            <w:r w:rsidRPr="00B615E3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durchgeführt werden können?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59B02B" w14:textId="6C04A45A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C831DE" w14:textId="09220058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3F94586B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90B8B58" w14:textId="40D88C2E" w:rsidR="003C31F8" w:rsidRPr="00B615E3" w:rsidRDefault="000845BC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  <w:r w:rsidR="003C31F8"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2AED861D" w14:textId="30AB2D38" w:rsidR="003C31F8" w:rsidRPr="00B615E3" w:rsidRDefault="000845BC" w:rsidP="00C5602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Lassen Sie Gerüste vor der Benutzung auf sichtbare Beschädigungen und Mängel prüfen?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53EC386" w14:textId="7873D5F4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DFE657" w14:textId="0EE3F55E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6B96A2A0" w14:textId="77777777" w:rsidTr="005732AA">
        <w:trPr>
          <w:trHeight w:val="227"/>
        </w:trPr>
        <w:tc>
          <w:tcPr>
            <w:tcW w:w="9322" w:type="dxa"/>
            <w:gridSpan w:val="4"/>
            <w:shd w:val="clear" w:color="auto" w:fill="auto"/>
          </w:tcPr>
          <w:p w14:paraId="1F8C7CA6" w14:textId="51301F8F" w:rsidR="00C5602E" w:rsidRPr="00B615E3" w:rsidRDefault="00B615E3" w:rsidP="00B615E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C. </w:t>
            </w:r>
            <w:r w:rsidRPr="00B615E3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Sichtprüfung vor Benutzung</w:t>
            </w:r>
          </w:p>
        </w:tc>
      </w:tr>
      <w:tr w:rsidR="00C5602E" w:rsidRPr="00B615E3" w14:paraId="2A5F0D87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3EA6B903" w14:textId="4032961C" w:rsidR="003C31F8" w:rsidRPr="00B615E3" w:rsidRDefault="00B615E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C31F8"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390F0BF9" w14:textId="77777777" w:rsidR="00B615E3" w:rsidRPr="00B615E3" w:rsidRDefault="00B615E3" w:rsidP="00B615E3">
            <w:pPr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B615E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Ist das Gerüst an einer gut sichtbaren Stelle (z. B. Aufstieg) mit folgenden Angaben gekennzeichnet:</w:t>
            </w:r>
          </w:p>
          <w:p w14:paraId="114B0F4D" w14:textId="77777777" w:rsidR="00B615E3" w:rsidRPr="00B615E3" w:rsidRDefault="00B615E3" w:rsidP="00B615E3">
            <w:pPr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B615E3">
              <w:rPr>
                <w:rFonts w:ascii="Arial" w:eastAsia="ZapfDingbatsITC" w:hAnsi="Arial" w:cs="Arial"/>
                <w:color w:val="3DCAFF"/>
                <w:sz w:val="24"/>
                <w:szCs w:val="24"/>
              </w:rPr>
              <w:t xml:space="preserve">■ </w:t>
            </w:r>
            <w:r w:rsidRPr="00B615E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Art des Gerüstes</w:t>
            </w:r>
          </w:p>
          <w:p w14:paraId="0796BE2A" w14:textId="77777777" w:rsidR="00B615E3" w:rsidRPr="00B615E3" w:rsidRDefault="00B615E3" w:rsidP="00B615E3">
            <w:pPr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B615E3">
              <w:rPr>
                <w:rFonts w:ascii="Arial" w:eastAsia="ZapfDingbatsITC" w:hAnsi="Arial" w:cs="Arial"/>
                <w:color w:val="3DCAFF"/>
                <w:sz w:val="24"/>
                <w:szCs w:val="24"/>
              </w:rPr>
              <w:t xml:space="preserve">■ </w:t>
            </w:r>
            <w:r w:rsidRPr="00B615E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Lastklasse und Nutzlast, Breitenklasse</w:t>
            </w:r>
          </w:p>
          <w:p w14:paraId="3D0A05C8" w14:textId="77777777" w:rsidR="00B615E3" w:rsidRPr="00B615E3" w:rsidRDefault="00B615E3" w:rsidP="00B615E3">
            <w:pPr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B615E3">
              <w:rPr>
                <w:rFonts w:ascii="Arial" w:eastAsia="ZapfDingbatsITC" w:hAnsi="Arial" w:cs="Arial"/>
                <w:color w:val="3DCAFF"/>
                <w:sz w:val="24"/>
                <w:szCs w:val="24"/>
              </w:rPr>
              <w:t xml:space="preserve">■ </w:t>
            </w:r>
            <w:r w:rsidRPr="00B615E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Hersteller des Gerüstes</w:t>
            </w:r>
          </w:p>
          <w:p w14:paraId="1D14792A" w14:textId="448CB028" w:rsidR="003C31F8" w:rsidRPr="00B615E3" w:rsidRDefault="00B615E3" w:rsidP="00B615E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615E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Fehlt das Freigabedokument, darf das Gerüst nicht betreten werden!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5790844" w14:textId="22294222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3EE188" w14:textId="23DAD2CB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3FF62168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77DFBFF" w14:textId="03C6EFD5" w:rsidR="003C31F8" w:rsidRPr="00B615E3" w:rsidRDefault="00B615E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 w:rsidR="003C31F8"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7396610" w14:textId="4674C0C4" w:rsidR="003C31F8" w:rsidRPr="00B615E3" w:rsidRDefault="00B615E3" w:rsidP="003C31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Ist das Gerüst verankert?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0D5A64" w14:textId="1CD57151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67C54601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397537D9" w14:textId="17069E99" w:rsidR="003C31F8" w:rsidRPr="00B615E3" w:rsidRDefault="00B615E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  <w:r w:rsidR="003C31F8"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0EC3FD2" w14:textId="36D1A8F8" w:rsidR="003C31F8" w:rsidRPr="00B615E3" w:rsidRDefault="00B615E3" w:rsidP="00C5602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Sind die Aufstandsflächen des Gerüstes in Ordnung? Aufstandsflächen dürfen z. B. nicht unterhöhlt sein.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25939C6" w14:textId="77777777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40A3CA5" w14:textId="77777777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5602E" w:rsidRPr="00B615E3" w14:paraId="4ED08720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79F2996B" w14:textId="573C1367" w:rsidR="003C31F8" w:rsidRPr="00B615E3" w:rsidRDefault="00B615E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3C31F8"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AF48D96" w14:textId="561EA5FE" w:rsidR="003C31F8" w:rsidRPr="00B615E3" w:rsidRDefault="00B615E3" w:rsidP="00C5602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Sind sichere Zugänge / Aufstiege vorhanden?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2E8AD1A" w14:textId="77777777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4590CA" w14:textId="77777777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5602E" w:rsidRPr="00B615E3" w14:paraId="320B62F7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3C6DD6AB" w14:textId="4B202D94" w:rsidR="003C31F8" w:rsidRPr="00B615E3" w:rsidRDefault="00B615E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3C31F8"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5CD12BF8" w14:textId="6A138FD8" w:rsidR="003C31F8" w:rsidRPr="00B615E3" w:rsidRDefault="00B615E3" w:rsidP="003C31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Ist jede genutzte Gerüstlage vollflächig mit Belägen ausgelegt? Liegen die Beläge dicht nebeneinander?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F90BEBB" w14:textId="77777777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EF1EC84" w14:textId="77777777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5602E" w:rsidRPr="00B615E3" w14:paraId="6BE45330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11D8D843" w14:textId="357E4FCD" w:rsidR="003C31F8" w:rsidRPr="00B615E3" w:rsidRDefault="00B615E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3C31F8"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46ED4E64" w14:textId="4687DECF" w:rsidR="003C31F8" w:rsidRPr="00B615E3" w:rsidRDefault="00B615E3" w:rsidP="00C5602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Sind Gerüstbeläge so verlegt, dass sie nicht verrutschen können?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E53A2E" w14:textId="2C4EEBD2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F5C71C" w14:textId="6AB9A79C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19E34650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722913C8" w14:textId="43F7970F" w:rsidR="003C31F8" w:rsidRPr="00B615E3" w:rsidRDefault="00B615E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="003C31F8"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2CE8C676" w14:textId="54AC3D4E" w:rsidR="003C31F8" w:rsidRPr="00B615E3" w:rsidRDefault="00B615E3" w:rsidP="003C31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Sind die Gerüstbeläge unbeschädigt?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12586F" w14:textId="6F600115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D783AC" w14:textId="511674AB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7BA00A6F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EA56634" w14:textId="602B6305" w:rsidR="003C31F8" w:rsidRPr="00B615E3" w:rsidRDefault="00B615E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3C31F8"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5A4EDE1D" w14:textId="39D93EFE" w:rsidR="003C31F8" w:rsidRPr="00B615E3" w:rsidRDefault="00B615E3" w:rsidP="00B615E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Sind alle Gerüstlagen, auf denen gearbeitet werden muss, mit einem 3-teiligen Seitenschutz versehen</w:t>
            </w:r>
            <w:r w:rsidRPr="00B615E3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(</w:t>
            </w:r>
            <w:proofErr w:type="spellStart"/>
            <w:r w:rsidRPr="00B615E3">
              <w:rPr>
                <w:rFonts w:ascii="Arial" w:eastAsiaTheme="minorHAnsi" w:hAnsi="Arial" w:cs="Arial"/>
                <w:sz w:val="24"/>
                <w:szCs w:val="24"/>
              </w:rPr>
              <w:t>Geländerholm</w:t>
            </w:r>
            <w:proofErr w:type="spellEnd"/>
            <w:r w:rsidRPr="00B615E3">
              <w:rPr>
                <w:rFonts w:ascii="Arial" w:eastAsiaTheme="minorHAnsi" w:hAnsi="Arial" w:cs="Arial"/>
                <w:sz w:val="24"/>
                <w:szCs w:val="24"/>
              </w:rPr>
              <w:t>, Zwischenholm, Bordbrett)?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ABD6E1" w14:textId="6586AFA4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5F2F22" w14:textId="7B0D1984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690436BA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27292FE2" w14:textId="2DE00BB2" w:rsidR="003C31F8" w:rsidRPr="00B615E3" w:rsidRDefault="00B615E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="003C31F8"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721EB210" w14:textId="7F463302" w:rsidR="003C31F8" w:rsidRPr="00B615E3" w:rsidRDefault="00B615E3" w:rsidP="00B615E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Ist ein maximaler Wandabstand von 0,30 Metern eingehalten bzw. bei größeren Abständen Seitenschutz</w:t>
            </w:r>
            <w:r w:rsidRPr="00B615E3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angebracht?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A1FC29" w14:textId="4098CF38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537D8C" w14:textId="41527155" w:rsidR="003C31F8" w:rsidRPr="00B615E3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B615E3" w:rsidRPr="00B615E3" w14:paraId="70A27624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14D166B8" w14:textId="5020CA0C" w:rsidR="00B615E3" w:rsidRPr="00B615E3" w:rsidRDefault="00B615E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5E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10.</w:t>
            </w:r>
          </w:p>
        </w:tc>
        <w:tc>
          <w:tcPr>
            <w:tcW w:w="7371" w:type="dxa"/>
            <w:shd w:val="clear" w:color="auto" w:fill="auto"/>
          </w:tcPr>
          <w:p w14:paraId="405E561E" w14:textId="73EDBB89" w:rsidR="00B615E3" w:rsidRPr="00B615E3" w:rsidRDefault="00B615E3" w:rsidP="00B615E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615E3">
              <w:rPr>
                <w:rFonts w:ascii="Arial" w:eastAsiaTheme="minorHAnsi" w:hAnsi="Arial" w:cs="Arial"/>
                <w:sz w:val="24"/>
                <w:szCs w:val="24"/>
              </w:rPr>
              <w:t>Sind die Gerüstwege ausreichend beleuchtet?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E1A9C5B" w14:textId="77777777" w:rsidR="00B615E3" w:rsidRPr="00B615E3" w:rsidRDefault="00B615E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DED38A2" w14:textId="77777777" w:rsidR="00B615E3" w:rsidRPr="00B615E3" w:rsidRDefault="00B615E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E8579" w14:textId="77777777" w:rsidR="00967C29" w:rsidRDefault="00967C29" w:rsidP="0024604F">
      <w:r>
        <w:separator/>
      </w:r>
    </w:p>
  </w:endnote>
  <w:endnote w:type="continuationSeparator" w:id="0">
    <w:p w14:paraId="15315E29" w14:textId="77777777" w:rsidR="00967C29" w:rsidRDefault="00967C29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IT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0910E442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B929AC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634FF1">
      <w:rPr>
        <w:rFonts w:asciiTheme="majorHAnsi" w:hAnsiTheme="majorHAnsi" w:cstheme="majorHAnsi"/>
        <w:sz w:val="18"/>
        <w:lang w:bidi="de-DE"/>
      </w:rPr>
      <w:t>Dr. Robert Kaufmann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C83F8" w14:textId="77777777" w:rsidR="00967C29" w:rsidRDefault="00967C29" w:rsidP="0024604F">
      <w:r>
        <w:separator/>
      </w:r>
    </w:p>
  </w:footnote>
  <w:footnote w:type="continuationSeparator" w:id="0">
    <w:p w14:paraId="137FDEFE" w14:textId="77777777" w:rsidR="00967C29" w:rsidRDefault="00967C29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845BC"/>
    <w:rsid w:val="001217BB"/>
    <w:rsid w:val="001321AB"/>
    <w:rsid w:val="001815DA"/>
    <w:rsid w:val="001D31B5"/>
    <w:rsid w:val="001E3A69"/>
    <w:rsid w:val="001E6365"/>
    <w:rsid w:val="00221FB4"/>
    <w:rsid w:val="0024604F"/>
    <w:rsid w:val="002B078F"/>
    <w:rsid w:val="002F24A5"/>
    <w:rsid w:val="0032735C"/>
    <w:rsid w:val="00357E28"/>
    <w:rsid w:val="003860A5"/>
    <w:rsid w:val="003C31F8"/>
    <w:rsid w:val="003C4BF3"/>
    <w:rsid w:val="003F737C"/>
    <w:rsid w:val="00415B40"/>
    <w:rsid w:val="00433C88"/>
    <w:rsid w:val="00450D24"/>
    <w:rsid w:val="004608C0"/>
    <w:rsid w:val="004B27EB"/>
    <w:rsid w:val="004B3DE3"/>
    <w:rsid w:val="0063142E"/>
    <w:rsid w:val="00634FF1"/>
    <w:rsid w:val="00703947"/>
    <w:rsid w:val="0076766C"/>
    <w:rsid w:val="007B7114"/>
    <w:rsid w:val="007E1048"/>
    <w:rsid w:val="00821B51"/>
    <w:rsid w:val="00844F44"/>
    <w:rsid w:val="008A13F6"/>
    <w:rsid w:val="008C71F4"/>
    <w:rsid w:val="008E4191"/>
    <w:rsid w:val="00967C29"/>
    <w:rsid w:val="009E66C3"/>
    <w:rsid w:val="009F2539"/>
    <w:rsid w:val="00B45D36"/>
    <w:rsid w:val="00B615E3"/>
    <w:rsid w:val="00B929AC"/>
    <w:rsid w:val="00B94A7D"/>
    <w:rsid w:val="00BC66CB"/>
    <w:rsid w:val="00BD233E"/>
    <w:rsid w:val="00C03BC5"/>
    <w:rsid w:val="00C377EB"/>
    <w:rsid w:val="00C53075"/>
    <w:rsid w:val="00C5602E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60D79"/>
    <w:rsid w:val="00EB19A2"/>
    <w:rsid w:val="00F00668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E499CD-7568-4C7F-A6FE-08FC99CB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3</cp:revision>
  <dcterms:created xsi:type="dcterms:W3CDTF">2025-04-13T13:58:00Z</dcterms:created>
  <dcterms:modified xsi:type="dcterms:W3CDTF">2025-04-13T14:01:00Z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