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122E9224">
        <w:tc>
          <w:tcPr>
            <w:tcW w:w="10135" w:type="dxa"/>
            <w:gridSpan w:val="2"/>
            <w:shd w:val="clear" w:color="auto" w:fill="92D050"/>
            <w:noWrap/>
            <w:vAlign w:val="center"/>
          </w:tcPr>
          <w:p w14:paraId="4F631A75"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Allgemeine Hinweise zu diesem Unterweisungs-Thema</w:t>
            </w:r>
          </w:p>
        </w:tc>
      </w:tr>
      <w:tr w:rsidR="005174E0" w14:paraId="0F80B669" w14:textId="77777777" w:rsidTr="122E9224">
        <w:tc>
          <w:tcPr>
            <w:tcW w:w="2122" w:type="dxa"/>
            <w:shd w:val="clear" w:color="auto" w:fill="D9D9D9" w:themeFill="background1" w:themeFillShade="D9"/>
            <w:noWrap/>
          </w:tcPr>
          <w:p w14:paraId="5DDBF830" w14:textId="77777777" w:rsidR="005174E0" w:rsidRPr="00942441" w:rsidRDefault="005174E0" w:rsidP="005174E0">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2EBACEE9" w:rsidR="005174E0" w:rsidRPr="00360C17" w:rsidRDefault="005174E0" w:rsidP="005174E0">
            <w:pPr>
              <w:rPr>
                <w:b/>
                <w:bCs/>
              </w:rPr>
            </w:pPr>
            <w:r w:rsidRPr="00EE4789">
              <w:rPr>
                <w:b/>
                <w:bCs/>
              </w:rPr>
              <w:t>Betrieblicher Brandschutz:</w:t>
            </w:r>
            <w:r w:rsidRPr="005A3FCA">
              <w:t xml:space="preserve"> </w:t>
            </w:r>
            <w:r w:rsidRPr="005174E0">
              <w:rPr>
                <w:b/>
                <w:bCs/>
              </w:rPr>
              <w:t>Gewerbe</w:t>
            </w:r>
          </w:p>
        </w:tc>
      </w:tr>
      <w:tr w:rsidR="005174E0" w14:paraId="51FF54E7" w14:textId="77777777" w:rsidTr="122E9224">
        <w:tc>
          <w:tcPr>
            <w:tcW w:w="2122" w:type="dxa"/>
            <w:shd w:val="clear" w:color="auto" w:fill="D9D9D9" w:themeFill="background1" w:themeFillShade="D9"/>
            <w:noWrap/>
          </w:tcPr>
          <w:p w14:paraId="57E290EA" w14:textId="77777777" w:rsidR="005174E0" w:rsidRPr="00942441" w:rsidRDefault="005174E0" w:rsidP="005174E0">
            <w:pPr>
              <w:pStyle w:val="Standardb"/>
              <w:framePr w:hSpace="0" w:wrap="auto" w:vAnchor="margin" w:hAnchor="text" w:yAlign="inline"/>
            </w:pPr>
            <w:r w:rsidRPr="00942441">
              <w:t>Zielgruppe</w:t>
            </w:r>
          </w:p>
        </w:tc>
        <w:tc>
          <w:tcPr>
            <w:tcW w:w="8013" w:type="dxa"/>
            <w:shd w:val="clear" w:color="auto" w:fill="FFFFFF" w:themeFill="background1"/>
            <w:noWrap/>
          </w:tcPr>
          <w:p w14:paraId="68A7E7BF" w14:textId="77777777" w:rsidR="005174E0" w:rsidRDefault="005174E0" w:rsidP="005174E0">
            <w:r w:rsidRPr="007521B6">
              <w:t xml:space="preserve">Mitarbeiter und Mitarbeiterinnen aus </w:t>
            </w:r>
            <w:r>
              <w:rPr>
                <w:rStyle w:val="VNRT2PZeichenfett"/>
              </w:rPr>
              <w:t>gewerblichen B</w:t>
            </w:r>
            <w:r w:rsidRPr="006E67AC">
              <w:rPr>
                <w:rStyle w:val="VNRT2PZeichenfett"/>
              </w:rPr>
              <w:t>ereichen</w:t>
            </w:r>
            <w:r w:rsidRPr="007521B6">
              <w:rPr>
                <w:b/>
                <w:bCs/>
              </w:rPr>
              <w:t xml:space="preserve"> </w:t>
            </w:r>
            <w:r w:rsidRPr="007521B6">
              <w:t xml:space="preserve">und vergleichbaren Arbeitsplätzen </w:t>
            </w:r>
          </w:p>
          <w:p w14:paraId="0C727E87" w14:textId="77777777" w:rsidR="005174E0" w:rsidRDefault="005174E0" w:rsidP="005174E0">
            <w:pPr>
              <w:pStyle w:val="VNRT2PLeerzeichen"/>
            </w:pPr>
          </w:p>
          <w:p w14:paraId="29DE58BF" w14:textId="10DC45A1" w:rsidR="005174E0" w:rsidRPr="00665CAF" w:rsidRDefault="005174E0" w:rsidP="005174E0">
            <w:r w:rsidRPr="122E9224">
              <w:rPr>
                <w:rStyle w:val="VNRT2BZeichenkursiv"/>
              </w:rPr>
              <w:t>Hinweis: Für die Unterweisung von Mitarbeiten</w:t>
            </w:r>
            <w:r w:rsidR="7B6E6229" w:rsidRPr="122E9224">
              <w:rPr>
                <w:rStyle w:val="VNRT2BZeichenkursiv"/>
              </w:rPr>
              <w:t>den</w:t>
            </w:r>
            <w:r w:rsidRPr="122E9224">
              <w:rPr>
                <w:rStyle w:val="VNRT2BZeichenkursiv"/>
              </w:rPr>
              <w:t xml:space="preserve"> aus Bürobereichen nutzen Sie bitte die Unterweisung „Betrieblicher Brandschutz Büro“.</w:t>
            </w:r>
          </w:p>
        </w:tc>
      </w:tr>
      <w:tr w:rsidR="005174E0" w14:paraId="08427C87" w14:textId="77777777" w:rsidTr="122E9224">
        <w:tc>
          <w:tcPr>
            <w:tcW w:w="2122" w:type="dxa"/>
            <w:shd w:val="clear" w:color="auto" w:fill="D9D9D9" w:themeFill="background1" w:themeFillShade="D9"/>
            <w:noWrap/>
          </w:tcPr>
          <w:p w14:paraId="4B6900A1" w14:textId="77777777" w:rsidR="005174E0" w:rsidRPr="00942441" w:rsidRDefault="005174E0" w:rsidP="005174E0">
            <w:pPr>
              <w:pStyle w:val="Standardb"/>
              <w:framePr w:hSpace="0" w:wrap="auto" w:vAnchor="margin" w:hAnchor="text" w:yAlign="inline"/>
            </w:pPr>
            <w:r w:rsidRPr="00942441">
              <w:t>Ziele der Unterweisung</w:t>
            </w:r>
          </w:p>
        </w:tc>
        <w:tc>
          <w:tcPr>
            <w:tcW w:w="8013" w:type="dxa"/>
            <w:shd w:val="clear" w:color="auto" w:fill="FFFFFF" w:themeFill="background1"/>
            <w:noWrap/>
          </w:tcPr>
          <w:p w14:paraId="1649EABF" w14:textId="77777777" w:rsidR="005174E0" w:rsidRPr="00001A97" w:rsidRDefault="005174E0" w:rsidP="005174E0">
            <w:r>
              <w:t>Die Teilnehmenden</w:t>
            </w:r>
          </w:p>
          <w:p w14:paraId="0FD9F058" w14:textId="77777777" w:rsidR="005174E0" w:rsidRPr="007521B6" w:rsidRDefault="005174E0" w:rsidP="005174E0">
            <w:pPr>
              <w:pStyle w:val="Standard"/>
            </w:pPr>
            <w:r w:rsidRPr="006E67AC">
              <w:t>werden</w:t>
            </w:r>
            <w:r w:rsidRPr="007521B6">
              <w:t xml:space="preserve"> für die </w:t>
            </w:r>
            <w:r w:rsidRPr="006E67AC">
              <w:t>Folgen</w:t>
            </w:r>
            <w:r w:rsidRPr="007521B6">
              <w:t xml:space="preserve"> eines Brandereignisses sensibilisiert,</w:t>
            </w:r>
          </w:p>
          <w:p w14:paraId="36E60F79" w14:textId="77777777" w:rsidR="005174E0" w:rsidRPr="007521B6" w:rsidRDefault="005174E0" w:rsidP="005174E0">
            <w:pPr>
              <w:pStyle w:val="Standard"/>
            </w:pPr>
            <w:r w:rsidRPr="007521B6">
              <w:t xml:space="preserve">lernen die </w:t>
            </w:r>
            <w:r w:rsidRPr="006E67AC">
              <w:t>Ursachen</w:t>
            </w:r>
            <w:r w:rsidRPr="007521B6">
              <w:t xml:space="preserve"> von Brandereignissen kennen,</w:t>
            </w:r>
          </w:p>
          <w:p w14:paraId="32EC74F1" w14:textId="03D53BA1" w:rsidR="005174E0" w:rsidRPr="007521B6" w:rsidRDefault="005174E0" w:rsidP="005174E0">
            <w:pPr>
              <w:pStyle w:val="Standard"/>
            </w:pPr>
            <w:r>
              <w:t>verstehen, was sie ganz persönlich dazu beitragen können, um das Entstehen von Bränden zu verhindern</w:t>
            </w:r>
            <w:r w:rsidR="3623EE6F">
              <w:t>,</w:t>
            </w:r>
          </w:p>
          <w:p w14:paraId="266B9511" w14:textId="079C23FD" w:rsidR="005174E0" w:rsidRDefault="005174E0" w:rsidP="005174E0">
            <w:pPr>
              <w:pStyle w:val="Standard"/>
            </w:pPr>
            <w:r w:rsidRPr="007521B6">
              <w:t>wissen, wie sie sich im Brandfall verhalten müssen</w:t>
            </w:r>
            <w:r>
              <w:t>.</w:t>
            </w:r>
          </w:p>
        </w:tc>
      </w:tr>
      <w:tr w:rsidR="005174E0" w14:paraId="2385225E" w14:textId="77777777" w:rsidTr="122E9224">
        <w:tc>
          <w:tcPr>
            <w:tcW w:w="2122" w:type="dxa"/>
            <w:shd w:val="clear" w:color="auto" w:fill="D9D9D9" w:themeFill="background1" w:themeFillShade="D9"/>
            <w:noWrap/>
          </w:tcPr>
          <w:p w14:paraId="79B0083A" w14:textId="77777777" w:rsidR="005174E0" w:rsidRPr="00942441" w:rsidRDefault="005174E0" w:rsidP="005174E0">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5174E0" w:rsidRDefault="005174E0" w:rsidP="005174E0">
            <w:r w:rsidRPr="007521B6">
              <w:t>Vortrag und Unterweisungsgespräch als Präsenzveranstaltung oder Online-Schulung</w:t>
            </w:r>
          </w:p>
        </w:tc>
      </w:tr>
      <w:tr w:rsidR="005174E0" w:rsidRPr="00AC780C" w14:paraId="7F531C1A" w14:textId="77777777" w:rsidTr="122E9224">
        <w:tc>
          <w:tcPr>
            <w:tcW w:w="2122" w:type="dxa"/>
            <w:shd w:val="clear" w:color="auto" w:fill="D9D9D9" w:themeFill="background1" w:themeFillShade="D9"/>
            <w:noWrap/>
          </w:tcPr>
          <w:p w14:paraId="45843D40" w14:textId="77777777" w:rsidR="005174E0" w:rsidRPr="00942441" w:rsidRDefault="005174E0" w:rsidP="005174E0">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5174E0" w:rsidRPr="007801C6" w:rsidRDefault="005174E0" w:rsidP="005174E0">
            <w:pPr>
              <w:rPr>
                <w:lang w:val="en-US"/>
              </w:rPr>
            </w:pPr>
            <w:r w:rsidRPr="007801C6">
              <w:rPr>
                <w:lang w:val="en-US"/>
              </w:rPr>
              <w:t>PowerPoint-Folien, ggf. Flipchart / (digitales)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77F58332">
        <w:tc>
          <w:tcPr>
            <w:tcW w:w="10135" w:type="dxa"/>
            <w:gridSpan w:val="2"/>
            <w:shd w:val="clear" w:color="auto" w:fill="92D050"/>
            <w:noWrap/>
          </w:tcPr>
          <w:p w14:paraId="2A6D5C77"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t>Tipps für Ihre Vorbereitung</w:t>
            </w:r>
          </w:p>
        </w:tc>
      </w:tr>
      <w:tr w:rsidR="00AC42D3" w14:paraId="1153DA86" w14:textId="77777777" w:rsidTr="77F58332">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2AD3E7D8" w:rsidR="00AC42D3" w:rsidRPr="00552B2F" w:rsidRDefault="00AC42D3" w:rsidP="00AC42D3">
            <w:pPr>
              <w:pStyle w:val="Standard"/>
              <w:rPr>
                <w:rStyle w:val="VNRT2BZeichenkursiv"/>
              </w:rPr>
            </w:pPr>
            <w:r>
              <w:t>Überlegen Sie vorab, welche Erfahrungen die Teilnehmenden bereits haben</w:t>
            </w:r>
            <w:r w:rsidR="0A441E3A">
              <w:t>:</w:t>
            </w:r>
            <w:r>
              <w:t xml:space="preserve"> Sind es </w:t>
            </w:r>
            <w:r w:rsidRPr="122E9224">
              <w:rPr>
                <w:rStyle w:val="VNRT2PZeichenfett"/>
              </w:rPr>
              <w:t>Berufsanfänger*innen oder erfahrene Fachkräfte</w:t>
            </w:r>
            <w:r>
              <w:t xml:space="preserve">? Sie dürfen die Inhalte der Unterweisung an den Wissensstand der Teilnehmenden anpassen. </w:t>
            </w:r>
            <w:r>
              <w:br/>
            </w:r>
            <w:r w:rsidRPr="122E9224">
              <w:rPr>
                <w:rStyle w:val="VNRT2BZeichenkursiv"/>
              </w:rPr>
              <w:t xml:space="preserve">Tipp: Je erfahrener die Teilnehmenden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Pr>
                <w:b/>
                <w:bCs/>
              </w:rPr>
              <w:t>Notizen in die Präsentation</w:t>
            </w:r>
            <w:r>
              <w:t>. Diese können Sie dann in der Referentenansicht sehen und haben eine wertvolle Gedankenstütze.</w:t>
            </w:r>
          </w:p>
          <w:p w14:paraId="10AB8EB5" w14:textId="72C1E41B" w:rsidR="00AC42D3" w:rsidRDefault="00AC42D3" w:rsidP="00AC42D3">
            <w:pPr>
              <w:pStyle w:val="Standard"/>
            </w:pPr>
            <w:r>
              <w:t xml:space="preserve">Trauen Sie sich, die </w:t>
            </w:r>
            <w:r w:rsidRPr="122E9224">
              <w:rPr>
                <w:rStyle w:val="VNRT2PZeichenfett"/>
              </w:rPr>
              <w:t>Inhalte an Ihre Bedürfnisse anzupassen</w:t>
            </w:r>
            <w:r>
              <w:t>. Löschen Sie Inhalte, die auf Sie nicht zutreffen</w:t>
            </w:r>
            <w:r w:rsidR="74D09277">
              <w:t>,</w:t>
            </w:r>
            <w:r>
              <w:t xml:space="preserve"> und ergänzen Sie ggf. betriebsspezifische Inhalte, z. B. wenn Ihr Betrieb über eine eigene Werksfeuerwehr verfügt oder andere Besonderheiten aufweist. </w:t>
            </w:r>
          </w:p>
          <w:p w14:paraId="208E620A" w14:textId="08412048" w:rsidR="00AC42D3" w:rsidRPr="00360C17" w:rsidRDefault="00AC42D3" w:rsidP="00AC42D3">
            <w:pPr>
              <w:pStyle w:val="Standard"/>
            </w:pPr>
            <w:r w:rsidRPr="77F58332">
              <w:rPr>
                <w:rStyle w:val="VNRT2PZeichenfett"/>
              </w:rPr>
              <w:t>Ergänzen Sie ggf. Bildmaterial</w:t>
            </w:r>
            <w:r>
              <w:t xml:space="preserve"> aus Ihrem Betrieb. Dies weckt das Interesse der Mitarbeitenden und verdeutlicht, dass es wirklich ganz konkret um den eigenen Arbeitsplatz geht. Achten Sie jedoch darauf, dass Mitarbeitende auf Fotos nicht erkennbar s</w:t>
            </w:r>
            <w:r w:rsidR="362A7D93">
              <w:t>ind</w:t>
            </w:r>
            <w:r>
              <w:t>. Dies gilt besonders, wenn es sich um Negativbeispiele handelt, um diese Personen nicht vor den Kollegen und Kolleginnen vorzuführen.</w:t>
            </w:r>
          </w:p>
        </w:tc>
      </w:tr>
      <w:tr w:rsidR="00AC42D3" w14:paraId="50FD95AB" w14:textId="77777777" w:rsidTr="77F58332">
        <w:tc>
          <w:tcPr>
            <w:tcW w:w="2122" w:type="dxa"/>
            <w:vMerge w:val="restart"/>
            <w:shd w:val="clear" w:color="auto" w:fill="D9D9D9" w:themeFill="background1" w:themeFillShade="D9"/>
            <w:noWrap/>
          </w:tcPr>
          <w:p w14:paraId="58F305B1" w14:textId="77777777" w:rsidR="00AC42D3" w:rsidRPr="00CE45D8" w:rsidRDefault="00AC42D3" w:rsidP="00AC42D3">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5D311D" w:rsidRDefault="00AC42D3" w:rsidP="00AC42D3">
            <w:pPr>
              <w:pStyle w:val="Standardb"/>
              <w:framePr w:hSpace="0" w:wrap="auto" w:vAnchor="margin" w:hAnchor="text" w:yAlign="inline"/>
              <w:rPr>
                <w:b w:val="0"/>
                <w:bCs/>
              </w:rPr>
            </w:pPr>
            <w:r w:rsidRPr="005D311D">
              <w:rPr>
                <w:rStyle w:val="VNRT2PZeichenfett"/>
                <w:b/>
                <w:bCs w:val="0"/>
              </w:rPr>
              <w:t>Präsenzunterweisung</w:t>
            </w:r>
          </w:p>
          <w:p w14:paraId="517E3171" w14:textId="66ABFE57" w:rsidR="00AC42D3" w:rsidRPr="00552B2F" w:rsidRDefault="00AC42D3" w:rsidP="00AC42D3">
            <w:pPr>
              <w:pStyle w:val="Standard"/>
            </w:pPr>
            <w:r>
              <w:t>Buchen Sie rechtzeitig vor der (Präsenz</w:t>
            </w:r>
            <w:r w:rsidR="4188DD7E">
              <w:t>-</w:t>
            </w:r>
            <w:r>
              <w:t xml:space="preserve">)Veranstaltung einen </w:t>
            </w:r>
            <w:r w:rsidRPr="122E9224">
              <w:rPr>
                <w:rStyle w:val="VNRT2PZeichenfett"/>
              </w:rPr>
              <w:t>Schulungsraum</w:t>
            </w:r>
            <w:r>
              <w:t>. Planen Sie dabei vor und nach der eigentlichen Unterweisung ein wenig Zeit ein, um die Technik vorzubereiten und ggf. im Nachgang Fragen der Teilnehmenden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lastRenderedPageBreak/>
              <w:t xml:space="preserve">Bereiten Sie den </w:t>
            </w:r>
            <w:r w:rsidRPr="00552B2F">
              <w:rPr>
                <w:rStyle w:val="VNRT2PZeichenfett"/>
              </w:rPr>
              <w:t>Unterweisungsnachweis</w:t>
            </w:r>
            <w:r w:rsidRPr="00552B2F">
              <w:t xml:space="preserve"> vor. Sie können dazu den Vordruck aus TeachToProtect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77F58332">
        <w:tc>
          <w:tcPr>
            <w:tcW w:w="2122" w:type="dxa"/>
            <w:vMerge/>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5D311D">
              <w:rPr>
                <w:b w:val="0"/>
                <w:bCs/>
              </w:rPr>
              <w:t>-</w:t>
            </w:r>
            <w:r w:rsidRPr="005D311D">
              <w:rPr>
                <w:rStyle w:val="VNRT2PZeichenfett"/>
                <w:b/>
                <w:bCs w:val="0"/>
              </w:rPr>
              <w:t>Unterweisung</w:t>
            </w:r>
          </w:p>
          <w:p w14:paraId="28B4F7C3" w14:textId="716F7744" w:rsidR="00AC42D3" w:rsidRPr="006E67AC" w:rsidRDefault="00AC42D3" w:rsidP="00AC42D3">
            <w:pPr>
              <w:pStyle w:val="Standard"/>
            </w:pPr>
            <w:r>
              <w:t xml:space="preserve">Klären Sie ggf. im Vorwege ab, welche </w:t>
            </w:r>
            <w:r w:rsidRPr="122E9224">
              <w:rPr>
                <w:rStyle w:val="VNRT2PZeichenfett"/>
              </w:rPr>
              <w:t>Webinar-Software</w:t>
            </w:r>
            <w:r>
              <w:t xml:space="preserve"> Ihnen im Betrieb zur Verfügung steht bzw. dort zugelassen ist</w:t>
            </w:r>
            <w:r w:rsidR="52B30880">
              <w:t>,</w:t>
            </w:r>
            <w:r>
              <w:t xml:space="preserve"> und machen Sie sich ggf. mit der Software vertraut.</w:t>
            </w:r>
          </w:p>
          <w:p w14:paraId="4191AA50" w14:textId="379954FD" w:rsidR="00AC42D3" w:rsidRPr="006E67AC" w:rsidRDefault="00AC42D3" w:rsidP="00AC42D3">
            <w:pPr>
              <w:pStyle w:val="Standard"/>
            </w:pPr>
            <w:r>
              <w:t xml:space="preserve">Versenden Sie den </w:t>
            </w:r>
            <w:r w:rsidRPr="122E9224">
              <w:rPr>
                <w:rStyle w:val="VNRT2PZeichenfett"/>
              </w:rPr>
              <w:t>Einladungs</w:t>
            </w:r>
            <w:r w:rsidR="0198721F" w:rsidRPr="122E9224">
              <w:rPr>
                <w:rStyle w:val="VNRT2PZeichenfett"/>
              </w:rPr>
              <w:t>-L</w:t>
            </w:r>
            <w:r w:rsidRPr="122E9224">
              <w:rPr>
                <w:rStyle w:val="VNRT2PZeichenfett"/>
              </w:rPr>
              <w:t>ink</w:t>
            </w:r>
            <w:r>
              <w:t xml:space="preserve"> für die Unterweisung rechtzeitig vor der Veranstaltung und erinnern Sie kurz vor dem Termin noch einmal</w:t>
            </w:r>
            <w:r w:rsidR="09F77186">
              <w:t xml:space="preserve"> daran</w:t>
            </w:r>
            <w:r>
              <w:t>.</w:t>
            </w:r>
          </w:p>
          <w:p w14:paraId="0C3F9AEE" w14:textId="5A35FD83" w:rsidR="00AC42D3" w:rsidRPr="00552B2F" w:rsidRDefault="00AC42D3" w:rsidP="00AC42D3">
            <w:pPr>
              <w:pStyle w:val="Standard"/>
              <w:rPr>
                <w:rStyle w:val="VNRT2BZeichenkursiv"/>
              </w:rPr>
            </w:pPr>
            <w:r>
              <w:t xml:space="preserve">Führen Sie vor der Veranstaltung einen </w:t>
            </w:r>
            <w:r w:rsidRPr="122E9224">
              <w:rPr>
                <w:rStyle w:val="VNRT2PZeichenfett"/>
              </w:rPr>
              <w:t>Technik-Check</w:t>
            </w:r>
            <w:r>
              <w:t xml:space="preserve"> durch: Mikrofon, Video, Bildschirm teilen, ggf. Whiteboard-Funktion.</w:t>
            </w:r>
            <w:r>
              <w:br/>
            </w:r>
            <w:r w:rsidRPr="122E9224">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77777777" w:rsidR="00AC42D3" w:rsidRDefault="00AC42D3" w:rsidP="00AC42D3">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221BCB41" w14:textId="77777777" w:rsidR="00AC42D3" w:rsidRPr="00AC42D3" w:rsidRDefault="00AC42D3" w:rsidP="00AC42D3"/>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1907B32B">
        <w:tc>
          <w:tcPr>
            <w:tcW w:w="10135" w:type="dxa"/>
            <w:gridSpan w:val="2"/>
            <w:shd w:val="clear" w:color="auto" w:fill="92D050"/>
            <w:noWrap/>
            <w:vAlign w:val="center"/>
          </w:tcPr>
          <w:p w14:paraId="1F51357C" w14:textId="77777777" w:rsidR="00AC42D3" w:rsidRPr="00B97F12" w:rsidRDefault="00AC42D3" w:rsidP="00AC42D3">
            <w:pPr>
              <w:pStyle w:val="Kopfzeile"/>
              <w:rPr>
                <w:b/>
                <w:bCs/>
                <w:color w:val="FFFFFF" w:themeColor="background1"/>
                <w:sz w:val="22"/>
                <w:szCs w:val="22"/>
              </w:rPr>
            </w:pPr>
            <w:r w:rsidRPr="00B97F12">
              <w:rPr>
                <w:b/>
                <w:bCs/>
                <w:color w:val="FFFFFF" w:themeColor="background1"/>
                <w:sz w:val="22"/>
                <w:szCs w:val="22"/>
              </w:rPr>
              <w:lastRenderedPageBreak/>
              <w:t>Hinweise zu Inhalten</w:t>
            </w:r>
          </w:p>
        </w:tc>
      </w:tr>
      <w:tr w:rsidR="00AC42D3" w14:paraId="6F92650A" w14:textId="77777777" w:rsidTr="1907B32B">
        <w:tc>
          <w:tcPr>
            <w:tcW w:w="4531" w:type="dxa"/>
            <w:shd w:val="clear" w:color="auto" w:fill="D9D9D9" w:themeFill="background1" w:themeFillShade="D9"/>
            <w:noWrap/>
          </w:tcPr>
          <w:p w14:paraId="350B1210" w14:textId="30F54348" w:rsidR="00AC42D3" w:rsidRPr="00942441" w:rsidRDefault="00AC42D3" w:rsidP="005D311D">
            <w:pPr>
              <w:pStyle w:val="Standardb"/>
              <w:framePr w:hSpace="0" w:wrap="auto" w:vAnchor="margin" w:hAnchor="text" w:yAlign="inline"/>
              <w:tabs>
                <w:tab w:val="left" w:pos="2970"/>
              </w:tabs>
            </w:pPr>
            <w:r w:rsidRPr="00552B2F">
              <w:t>PowerPoint-Folie</w:t>
            </w:r>
            <w:r w:rsidR="005D311D">
              <w:tab/>
            </w:r>
          </w:p>
        </w:tc>
        <w:tc>
          <w:tcPr>
            <w:tcW w:w="5604" w:type="dxa"/>
            <w:shd w:val="clear" w:color="auto" w:fill="D9D9D9" w:themeFill="background1" w:themeFillShade="D9"/>
            <w:noWrap/>
          </w:tcPr>
          <w:p w14:paraId="04C0B2A7" w14:textId="77777777" w:rsidR="00AC42D3" w:rsidRPr="00CE3285" w:rsidRDefault="00AC42D3" w:rsidP="005D311D">
            <w:pPr>
              <w:pStyle w:val="Standardb"/>
              <w:framePr w:hSpace="0" w:wrap="auto" w:vAnchor="margin" w:hAnchor="text" w:yAlign="inline"/>
              <w:tabs>
                <w:tab w:val="left" w:pos="2970"/>
              </w:tabs>
            </w:pPr>
            <w:r w:rsidRPr="00CE3285">
              <w:t xml:space="preserve">Hinweise / Erläuterungen / </w:t>
            </w:r>
            <w:r w:rsidRPr="005D311D">
              <w:t>Tipps</w:t>
            </w:r>
          </w:p>
        </w:tc>
      </w:tr>
      <w:tr w:rsidR="00AC42D3" w14:paraId="5859E01D" w14:textId="77777777" w:rsidTr="1907B32B">
        <w:trPr>
          <w:trHeight w:hRule="exact" w:val="2552"/>
        </w:trPr>
        <w:tc>
          <w:tcPr>
            <w:tcW w:w="4531" w:type="dxa"/>
            <w:shd w:val="clear" w:color="auto" w:fill="auto"/>
            <w:noWrap/>
          </w:tcPr>
          <w:p w14:paraId="5E3B2F8F" w14:textId="15ABAF0F" w:rsidR="00AC42D3" w:rsidRPr="00942441" w:rsidRDefault="00AC42D3" w:rsidP="001D4A14"/>
        </w:tc>
        <w:tc>
          <w:tcPr>
            <w:tcW w:w="5604" w:type="dxa"/>
            <w:shd w:val="clear" w:color="auto" w:fill="FFFFFF" w:themeFill="background1"/>
            <w:noWrap/>
          </w:tcPr>
          <w:p w14:paraId="6838376F" w14:textId="3786D595" w:rsidR="005174E0" w:rsidRDefault="005174E0" w:rsidP="122E9224">
            <w:r>
              <w:t xml:space="preserve">Begrüßen Sie die </w:t>
            </w:r>
            <w:r w:rsidR="5B088075">
              <w:t>Teilnehmenden</w:t>
            </w:r>
            <w:r>
              <w:t xml:space="preserve">. </w:t>
            </w:r>
          </w:p>
          <w:p w14:paraId="4FB38A58" w14:textId="77777777" w:rsidR="005174E0" w:rsidRDefault="005174E0" w:rsidP="005174E0">
            <w:pPr>
              <w:pStyle w:val="VNRT2PLeerzeichen"/>
            </w:pPr>
          </w:p>
          <w:p w14:paraId="505E9A7F" w14:textId="692431DD" w:rsidR="00AC42D3" w:rsidRPr="00665CAF" w:rsidRDefault="005174E0" w:rsidP="122E9224">
            <w:r>
              <w:t xml:space="preserve">Falls Sie als Dozent </w:t>
            </w:r>
            <w:r w:rsidR="06E221A8" w:rsidRPr="1907B32B">
              <w:rPr>
                <w:rFonts w:eastAsia="Arial" w:cs="Arial"/>
                <w:color w:val="000000" w:themeColor="text1"/>
                <w:szCs w:val="18"/>
              </w:rPr>
              <w:t>bzw. Dozentin</w:t>
            </w:r>
            <w:r w:rsidR="06E221A8" w:rsidRPr="1907B32B">
              <w:rPr>
                <w:rFonts w:eastAsia="Arial" w:cs="Arial"/>
                <w:szCs w:val="18"/>
              </w:rPr>
              <w:t xml:space="preserve"> </w:t>
            </w:r>
            <w:r>
              <w:t xml:space="preserve">beauftragt wurden und die </w:t>
            </w:r>
            <w:r w:rsidR="4BED32CE">
              <w:t xml:space="preserve">Teilnehmenden </w:t>
            </w:r>
            <w:r>
              <w:t xml:space="preserve">nicht kennen: </w:t>
            </w:r>
            <w:r w:rsidR="75DC3F7C">
              <w:t>S</w:t>
            </w:r>
            <w:r>
              <w:t>tellen Sie sich kurz vor.</w:t>
            </w:r>
          </w:p>
        </w:tc>
      </w:tr>
      <w:tr w:rsidR="0D7E4720" w14:paraId="5A296D04" w14:textId="77777777" w:rsidTr="1907B32B">
        <w:trPr>
          <w:trHeight w:val="2920"/>
        </w:trPr>
        <w:tc>
          <w:tcPr>
            <w:tcW w:w="4531" w:type="dxa"/>
            <w:shd w:val="clear" w:color="auto" w:fill="auto"/>
            <w:noWrap/>
          </w:tcPr>
          <w:p w14:paraId="1EB43A58" w14:textId="7667A218" w:rsidR="005174E0" w:rsidRPr="005174E0" w:rsidRDefault="005174E0" w:rsidP="005174E0"/>
        </w:tc>
        <w:tc>
          <w:tcPr>
            <w:tcW w:w="5604" w:type="dxa"/>
            <w:shd w:val="clear" w:color="auto" w:fill="FFFFFF" w:themeFill="background1"/>
            <w:noWrap/>
          </w:tcPr>
          <w:p w14:paraId="05E38F41" w14:textId="77777777" w:rsidR="005174E0" w:rsidRDefault="005174E0" w:rsidP="005174E0">
            <w:r>
              <w:t>Ein paar Zahlen zum Einstieg, um die Bedeutung des betrieblichen Brandschutzes hervorzuheben.</w:t>
            </w:r>
          </w:p>
          <w:p w14:paraId="05FB757A" w14:textId="77777777" w:rsidR="005174E0" w:rsidRDefault="005174E0" w:rsidP="005174E0"/>
          <w:p w14:paraId="1AD67A07" w14:textId="2389783C" w:rsidR="005174E0" w:rsidRPr="005174E0" w:rsidRDefault="005174E0" w:rsidP="005174E0">
            <w:pPr>
              <w:pStyle w:val="Listenabsatz"/>
              <w:numPr>
                <w:ilvl w:val="0"/>
                <w:numId w:val="35"/>
              </w:numPr>
              <w:rPr>
                <w:rFonts w:ascii="Arial" w:hAnsi="Arial" w:cs="Arial"/>
              </w:rPr>
            </w:pPr>
            <w:r w:rsidRPr="122E9224">
              <w:rPr>
                <w:rFonts w:ascii="Arial" w:hAnsi="Arial" w:cs="Arial"/>
              </w:rPr>
              <w:t>Nur 23</w:t>
            </w:r>
            <w:r w:rsidR="2A1B94F6" w:rsidRPr="122E9224">
              <w:rPr>
                <w:rFonts w:ascii="Arial" w:hAnsi="Arial" w:cs="Arial"/>
              </w:rPr>
              <w:t xml:space="preserve"> </w:t>
            </w:r>
            <w:r w:rsidRPr="122E9224">
              <w:rPr>
                <w:rFonts w:ascii="Arial" w:hAnsi="Arial" w:cs="Arial"/>
              </w:rPr>
              <w:t>% der Betriebe werden nach einem Brandereignis wieder voll betriebsfähig</w:t>
            </w:r>
            <w:r w:rsidR="40BE00CB" w:rsidRPr="122E9224">
              <w:rPr>
                <w:rFonts w:ascii="Arial" w:hAnsi="Arial" w:cs="Arial"/>
              </w:rPr>
              <w:t>.</w:t>
            </w:r>
          </w:p>
          <w:p w14:paraId="31141491" w14:textId="5EF673F3" w:rsidR="005174E0" w:rsidRPr="005174E0" w:rsidRDefault="005174E0" w:rsidP="005174E0">
            <w:pPr>
              <w:pStyle w:val="Listenabsatz"/>
              <w:numPr>
                <w:ilvl w:val="0"/>
                <w:numId w:val="35"/>
              </w:numPr>
              <w:rPr>
                <w:rFonts w:ascii="Arial" w:hAnsi="Arial" w:cs="Arial"/>
              </w:rPr>
            </w:pPr>
            <w:r w:rsidRPr="122E9224">
              <w:rPr>
                <w:rFonts w:ascii="Arial" w:hAnsi="Arial" w:cs="Arial"/>
              </w:rPr>
              <w:t>43 % nehmen den Betrieb nie wieder auf</w:t>
            </w:r>
            <w:r w:rsidR="771CF523" w:rsidRPr="122E9224">
              <w:rPr>
                <w:rFonts w:ascii="Arial" w:hAnsi="Arial" w:cs="Arial"/>
              </w:rPr>
              <w:t>.</w:t>
            </w:r>
          </w:p>
          <w:p w14:paraId="6A65D717" w14:textId="7E4FDA84" w:rsidR="005174E0" w:rsidRPr="005174E0" w:rsidRDefault="005174E0" w:rsidP="005174E0">
            <w:pPr>
              <w:pStyle w:val="Listenabsatz"/>
              <w:numPr>
                <w:ilvl w:val="0"/>
                <w:numId w:val="35"/>
              </w:numPr>
              <w:rPr>
                <w:rFonts w:ascii="Arial" w:hAnsi="Arial" w:cs="Arial"/>
              </w:rPr>
            </w:pPr>
            <w:r w:rsidRPr="122E9224">
              <w:rPr>
                <w:rFonts w:ascii="Arial" w:hAnsi="Arial" w:cs="Arial"/>
              </w:rPr>
              <w:t>6 % fusionieren oder werden verkauft</w:t>
            </w:r>
            <w:r w:rsidR="771CF523" w:rsidRPr="122E9224">
              <w:rPr>
                <w:rFonts w:ascii="Arial" w:hAnsi="Arial" w:cs="Arial"/>
              </w:rPr>
              <w:t>.</w:t>
            </w:r>
          </w:p>
          <w:p w14:paraId="0EE257A9" w14:textId="0C9826DD" w:rsidR="0D7E4720" w:rsidRDefault="5B1D1051" w:rsidP="005174E0">
            <w:pPr>
              <w:pStyle w:val="Listenabsatz"/>
              <w:numPr>
                <w:ilvl w:val="0"/>
                <w:numId w:val="35"/>
              </w:numPr>
            </w:pPr>
            <w:r w:rsidRPr="77F58332">
              <w:rPr>
                <w:rFonts w:ascii="Arial" w:hAnsi="Arial" w:cs="Arial"/>
              </w:rPr>
              <w:t>28</w:t>
            </w:r>
            <w:r w:rsidR="3E6B6EDA" w:rsidRPr="77F58332">
              <w:rPr>
                <w:rFonts w:ascii="Arial" w:hAnsi="Arial" w:cs="Arial"/>
              </w:rPr>
              <w:t xml:space="preserve"> </w:t>
            </w:r>
            <w:r w:rsidRPr="77F58332">
              <w:rPr>
                <w:rFonts w:ascii="Arial" w:hAnsi="Arial" w:cs="Arial"/>
              </w:rPr>
              <w:t xml:space="preserve">% sind innerhalb von </w:t>
            </w:r>
            <w:r w:rsidR="4CEE93B3" w:rsidRPr="77F58332">
              <w:rPr>
                <w:rFonts w:ascii="Arial" w:hAnsi="Arial" w:cs="Arial"/>
              </w:rPr>
              <w:t xml:space="preserve">3 </w:t>
            </w:r>
            <w:r w:rsidRPr="77F58332">
              <w:rPr>
                <w:rFonts w:ascii="Arial" w:hAnsi="Arial" w:cs="Arial"/>
              </w:rPr>
              <w:t>Jahren aus dem Geschäft</w:t>
            </w:r>
            <w:r w:rsidR="0993BDF7" w:rsidRPr="77F58332">
              <w:rPr>
                <w:rFonts w:ascii="Arial" w:hAnsi="Arial" w:cs="Arial"/>
              </w:rPr>
              <w:t>.</w:t>
            </w:r>
          </w:p>
        </w:tc>
      </w:tr>
      <w:tr w:rsidR="00AC42D3" w:rsidRPr="00407A74" w14:paraId="41EC2D93" w14:textId="77777777" w:rsidTr="1907B32B">
        <w:trPr>
          <w:trHeight w:hRule="exact" w:val="2552"/>
        </w:trPr>
        <w:tc>
          <w:tcPr>
            <w:tcW w:w="4531" w:type="dxa"/>
            <w:shd w:val="clear" w:color="auto" w:fill="auto"/>
            <w:noWrap/>
            <w:vAlign w:val="bottom"/>
          </w:tcPr>
          <w:p w14:paraId="58A42488" w14:textId="00C27626" w:rsidR="00AC42D3" w:rsidRPr="00942441" w:rsidRDefault="00AC42D3" w:rsidP="00C6278B">
            <w:pPr>
              <w:pStyle w:val="Standardb"/>
              <w:framePr w:hSpace="0" w:wrap="auto" w:vAnchor="margin" w:hAnchor="text" w:yAlign="inline"/>
            </w:pPr>
          </w:p>
        </w:tc>
        <w:tc>
          <w:tcPr>
            <w:tcW w:w="5604" w:type="dxa"/>
            <w:shd w:val="clear" w:color="auto" w:fill="FFFFFF" w:themeFill="background1"/>
            <w:noWrap/>
          </w:tcPr>
          <w:p w14:paraId="087314A8" w14:textId="08CE86D0" w:rsidR="00AC42D3" w:rsidRPr="00407A74" w:rsidRDefault="005174E0" w:rsidP="00AC42D3">
            <w:r>
              <w:t>Stellen Sie das heutige Thema und den geplanten zeitlichen Rahmen kurz vor.</w:t>
            </w:r>
          </w:p>
        </w:tc>
      </w:tr>
      <w:tr w:rsidR="005174E0" w:rsidRPr="00407A74" w14:paraId="20B09A9F" w14:textId="77777777" w:rsidTr="1907B32B">
        <w:trPr>
          <w:trHeight w:hRule="exact" w:val="2552"/>
        </w:trPr>
        <w:tc>
          <w:tcPr>
            <w:tcW w:w="4531" w:type="dxa"/>
            <w:shd w:val="clear" w:color="auto" w:fill="auto"/>
            <w:noWrap/>
            <w:vAlign w:val="bottom"/>
          </w:tcPr>
          <w:p w14:paraId="2C4068C4" w14:textId="3F3B33FF"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3DFFFD99" w14:textId="2ED55BA8" w:rsidR="005174E0" w:rsidRDefault="005174E0" w:rsidP="005174E0">
            <w:r>
              <w:t>In diesem Abschnitt vermitteln Sie den Teilnehmenden wesentliche Grundlagen über das Entstehen von Bränden.</w:t>
            </w:r>
          </w:p>
        </w:tc>
      </w:tr>
      <w:tr w:rsidR="005174E0" w:rsidRPr="00407A74" w14:paraId="6BA88B36" w14:textId="77777777" w:rsidTr="1907B32B">
        <w:trPr>
          <w:trHeight w:hRule="exact" w:val="2552"/>
        </w:trPr>
        <w:tc>
          <w:tcPr>
            <w:tcW w:w="4531" w:type="dxa"/>
            <w:shd w:val="clear" w:color="auto" w:fill="auto"/>
            <w:noWrap/>
            <w:vAlign w:val="bottom"/>
          </w:tcPr>
          <w:p w14:paraId="3CB9E2B4" w14:textId="5D468D36"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423AFA7E" w14:textId="7CBB8059" w:rsidR="005174E0" w:rsidRDefault="005174E0" w:rsidP="005174E0">
            <w:r>
              <w:t>Das Brandschutzdreieck bzw. die Brandschutzgleichung zeigen, auf welche 3 Risikofaktoren beim betrieblichen Brandschutz zu achten ist.</w:t>
            </w:r>
          </w:p>
        </w:tc>
      </w:tr>
      <w:tr w:rsidR="005174E0" w:rsidRPr="00407A74" w14:paraId="67EC9EC0" w14:textId="77777777" w:rsidTr="1907B32B">
        <w:trPr>
          <w:trHeight w:hRule="exact" w:val="3234"/>
        </w:trPr>
        <w:tc>
          <w:tcPr>
            <w:tcW w:w="4531" w:type="dxa"/>
            <w:shd w:val="clear" w:color="auto" w:fill="auto"/>
            <w:noWrap/>
          </w:tcPr>
          <w:p w14:paraId="49FD60EB" w14:textId="76A4322C" w:rsidR="005174E0" w:rsidRDefault="005174E0" w:rsidP="006F7FDE">
            <w:pPr>
              <w:pStyle w:val="Standardb"/>
              <w:framePr w:hSpace="0" w:wrap="auto" w:vAnchor="margin" w:hAnchor="text" w:yAlign="inline"/>
              <w:rPr>
                <w:noProof/>
              </w:rPr>
            </w:pPr>
          </w:p>
        </w:tc>
        <w:tc>
          <w:tcPr>
            <w:tcW w:w="5604" w:type="dxa"/>
            <w:shd w:val="clear" w:color="auto" w:fill="FFFFFF" w:themeFill="background1"/>
            <w:noWrap/>
          </w:tcPr>
          <w:p w14:paraId="4377E9E7" w14:textId="77777777" w:rsidR="005174E0" w:rsidRDefault="005174E0" w:rsidP="005174E0">
            <w:r>
              <w:t xml:space="preserve">Die Vermeidung von Sauerstoff ist nicht in allen Betrieben üblich. Vertiefen Sie diese Thematik, wenn Sie im Betrieb inertisieren. </w:t>
            </w:r>
          </w:p>
          <w:p w14:paraId="6A55218D" w14:textId="77777777" w:rsidR="005174E0" w:rsidRDefault="005174E0" w:rsidP="005174E0"/>
          <w:p w14:paraId="5EF507DF" w14:textId="77777777" w:rsidR="005174E0" w:rsidRDefault="005174E0" w:rsidP="005174E0">
            <w:r>
              <w:t xml:space="preserve">Erläutern Sie den Teilnehmenden, in welchen Bereichen bzw. an welchen Anlagen das Prinzip der Sauerstoffreduzierung genutzt wird. </w:t>
            </w:r>
          </w:p>
          <w:p w14:paraId="187BFEDA" w14:textId="4CB520E1" w:rsidR="005174E0" w:rsidRDefault="005174E0" w:rsidP="005174E0">
            <w:r>
              <w:t>Heben Sie ggf. hervor, dass es beim An- und Abfahren zu einer erhöhten Brandgefahr kommen kann, da die Inertisierung aufgehoben wird. Wenn z. B. Anlagen bei Wartungs- und Reparaturarbeiten geöffnet werden müssen, kann Sauerstoff eindringen. Bis die Inertisierung wieder vollständig hergestellt ist, besteht ein erhöhtes Risiko.</w:t>
            </w:r>
          </w:p>
        </w:tc>
      </w:tr>
      <w:tr w:rsidR="005174E0" w:rsidRPr="00407A74" w14:paraId="7A44E669" w14:textId="77777777" w:rsidTr="1907B32B">
        <w:trPr>
          <w:trHeight w:hRule="exact" w:val="2552"/>
        </w:trPr>
        <w:tc>
          <w:tcPr>
            <w:tcW w:w="4531" w:type="dxa"/>
            <w:shd w:val="clear" w:color="auto" w:fill="auto"/>
            <w:noWrap/>
            <w:vAlign w:val="bottom"/>
          </w:tcPr>
          <w:p w14:paraId="03AA1318" w14:textId="1425AEDC"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44584AEA" w14:textId="77777777" w:rsidR="005174E0" w:rsidRDefault="005174E0" w:rsidP="005174E0">
            <w:r>
              <w:t xml:space="preserve">Das Vermeiden von Brandlasten ist eine elementare Maßnahme, um das Risiko für ein Feuer zu minimieren. </w:t>
            </w:r>
          </w:p>
          <w:p w14:paraId="2EAB3CB6" w14:textId="0F247047" w:rsidR="005174E0" w:rsidRPr="005174E0" w:rsidRDefault="5B1D1051" w:rsidP="005174E0">
            <w:pPr>
              <w:tabs>
                <w:tab w:val="left" w:pos="1420"/>
              </w:tabs>
            </w:pPr>
            <w:r>
              <w:t>Ersetzen Sie gerne das Foto durch Fotos aus einem Betriebsrund</w:t>
            </w:r>
            <w:r w:rsidR="46D23F36">
              <w:t>g</w:t>
            </w:r>
            <w:r>
              <w:t xml:space="preserve">ang, bei dem Sie Brandlasten vorgefunden haben, </w:t>
            </w:r>
            <w:r w:rsidR="3864E103">
              <w:t xml:space="preserve"> </w:t>
            </w:r>
            <w:r>
              <w:t>z. B. entzündbare Stoffe in Arbeitsräumen oder unnötige Mengen</w:t>
            </w:r>
            <w:r w:rsidR="21C6102D">
              <w:t xml:space="preserve"> von</w:t>
            </w:r>
            <w:r>
              <w:t xml:space="preserve"> Verpackungsmaterialien in Lagerbereichen.</w:t>
            </w:r>
          </w:p>
        </w:tc>
      </w:tr>
      <w:tr w:rsidR="005174E0" w:rsidRPr="00407A74" w14:paraId="5468FBBE" w14:textId="77777777" w:rsidTr="1907B32B">
        <w:trPr>
          <w:trHeight w:hRule="exact" w:val="2552"/>
        </w:trPr>
        <w:tc>
          <w:tcPr>
            <w:tcW w:w="4531" w:type="dxa"/>
            <w:shd w:val="clear" w:color="auto" w:fill="auto"/>
            <w:noWrap/>
            <w:vAlign w:val="bottom"/>
          </w:tcPr>
          <w:p w14:paraId="14BD1062" w14:textId="04B1DE8E"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14CA9C81" w14:textId="77777777" w:rsidR="005174E0" w:rsidRPr="000217A8" w:rsidRDefault="005174E0" w:rsidP="005174E0">
            <w:r w:rsidRPr="000217A8">
              <w:t>Fragen Sie Ihre Teilnehmenden nach dem Unterschied zwischen entzündbaren und brandfördernden Stoffen.</w:t>
            </w:r>
          </w:p>
          <w:p w14:paraId="3BE2B131" w14:textId="77777777" w:rsidR="005174E0" w:rsidRPr="000217A8" w:rsidRDefault="005174E0" w:rsidP="005174E0"/>
          <w:p w14:paraId="02B484B7" w14:textId="77777777" w:rsidR="005174E0" w:rsidRPr="000217A8" w:rsidRDefault="005174E0" w:rsidP="005174E0">
            <w:r w:rsidRPr="000217A8">
              <w:t>Entzündbar = Stoff ist leicht brennbar</w:t>
            </w:r>
          </w:p>
          <w:p w14:paraId="342A436A" w14:textId="211C10A8" w:rsidR="005174E0" w:rsidRDefault="005174E0" w:rsidP="122E9224">
            <w:r>
              <w:t xml:space="preserve">Brandfördernd = Stoff selbst brennt nicht, kann </w:t>
            </w:r>
            <w:r w:rsidR="69A41A83">
              <w:t xml:space="preserve">aber </w:t>
            </w:r>
            <w:r>
              <w:t>Sauerstoff bereitstellen und wirkt im Brandfall deshalb wie ein Brandbeschleuniger.</w:t>
            </w:r>
          </w:p>
        </w:tc>
      </w:tr>
      <w:tr w:rsidR="005174E0" w:rsidRPr="00407A74" w14:paraId="5681E6DF" w14:textId="77777777" w:rsidTr="1907B32B">
        <w:trPr>
          <w:trHeight w:hRule="exact" w:val="2552"/>
        </w:trPr>
        <w:tc>
          <w:tcPr>
            <w:tcW w:w="4531" w:type="dxa"/>
            <w:shd w:val="clear" w:color="auto" w:fill="auto"/>
            <w:noWrap/>
            <w:vAlign w:val="bottom"/>
          </w:tcPr>
          <w:p w14:paraId="22CC7478" w14:textId="36B39CA4"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1757574B" w14:textId="5E7EF53E" w:rsidR="005174E0" w:rsidRPr="005174E0" w:rsidRDefault="005174E0" w:rsidP="005174E0">
            <w:pPr>
              <w:rPr>
                <w:rFonts w:cs="Arial"/>
              </w:rPr>
            </w:pPr>
            <w:r w:rsidRPr="122E9224">
              <w:rPr>
                <w:rFonts w:cs="Arial"/>
              </w:rPr>
              <w:t>Gehen Sie auf die konkreten Lagereinrichtungen in Ihrem Betrieb ein</w:t>
            </w:r>
            <w:r w:rsidR="1B913C65" w:rsidRPr="122E9224">
              <w:rPr>
                <w:rFonts w:cs="Arial"/>
              </w:rPr>
              <w:t>:</w:t>
            </w:r>
            <w:r w:rsidRPr="122E9224">
              <w:rPr>
                <w:rFonts w:cs="Arial"/>
              </w:rPr>
              <w:t xml:space="preserve"> </w:t>
            </w:r>
          </w:p>
          <w:p w14:paraId="0CBC8701" w14:textId="77777777" w:rsidR="005174E0" w:rsidRPr="005174E0" w:rsidRDefault="005174E0" w:rsidP="005174E0">
            <w:pPr>
              <w:pStyle w:val="Listenabsatz"/>
              <w:numPr>
                <w:ilvl w:val="0"/>
                <w:numId w:val="37"/>
              </w:numPr>
              <w:spacing w:before="0" w:line="240" w:lineRule="auto"/>
              <w:rPr>
                <w:rFonts w:ascii="Arial" w:hAnsi="Arial" w:cs="Arial"/>
              </w:rPr>
            </w:pPr>
            <w:r w:rsidRPr="005174E0">
              <w:rPr>
                <w:rFonts w:ascii="Arial" w:hAnsi="Arial" w:cs="Arial"/>
              </w:rPr>
              <w:t>Wo befinden sich diese?</w:t>
            </w:r>
          </w:p>
          <w:p w14:paraId="189CE821" w14:textId="3793F207" w:rsidR="005174E0" w:rsidRPr="005174E0" w:rsidRDefault="005174E0" w:rsidP="005174E0">
            <w:pPr>
              <w:pStyle w:val="Listenabsatz"/>
              <w:numPr>
                <w:ilvl w:val="0"/>
                <w:numId w:val="37"/>
              </w:numPr>
              <w:rPr>
                <w:rFonts w:cs="Arial"/>
              </w:rPr>
            </w:pPr>
            <w:r w:rsidRPr="005174E0">
              <w:rPr>
                <w:rFonts w:ascii="Arial" w:hAnsi="Arial" w:cs="Arial"/>
              </w:rPr>
              <w:t>Welche Stoffe sollen wo gelagert werden?</w:t>
            </w:r>
          </w:p>
        </w:tc>
      </w:tr>
      <w:tr w:rsidR="00806ED1" w:rsidRPr="00407A74" w14:paraId="18C33069" w14:textId="77777777" w:rsidTr="1907B32B">
        <w:trPr>
          <w:trHeight w:val="4389"/>
        </w:trPr>
        <w:tc>
          <w:tcPr>
            <w:tcW w:w="4531" w:type="dxa"/>
            <w:shd w:val="clear" w:color="auto" w:fill="auto"/>
            <w:noWrap/>
          </w:tcPr>
          <w:p w14:paraId="33154515" w14:textId="238D1C1E" w:rsidR="00806ED1" w:rsidRDefault="00806ED1" w:rsidP="00806ED1">
            <w:pPr>
              <w:pStyle w:val="Standardb"/>
              <w:framePr w:hSpace="0" w:wrap="auto" w:vAnchor="margin" w:hAnchor="text" w:yAlign="inline"/>
              <w:rPr>
                <w:noProof/>
              </w:rPr>
            </w:pPr>
          </w:p>
        </w:tc>
        <w:tc>
          <w:tcPr>
            <w:tcW w:w="5604" w:type="dxa"/>
            <w:shd w:val="clear" w:color="auto" w:fill="FFFFFF" w:themeFill="background1"/>
            <w:noWrap/>
          </w:tcPr>
          <w:p w14:paraId="752B8D5F" w14:textId="6174677D" w:rsidR="00806ED1" w:rsidRDefault="1C2C68A0" w:rsidP="005174E0">
            <w:r>
              <w:t>Kritische Beispiele sind z. B. leere Kraftstoffkanister, Spraydosen oder restentleerte Behälter von Frostschutz, Bremsenreiniger und andere entzündbar</w:t>
            </w:r>
            <w:r w:rsidR="6E9AB457">
              <w:t>e</w:t>
            </w:r>
            <w:r>
              <w:t xml:space="preserve"> Stoffe. Nutzen Sie das folgende Unfallbeispiel aus der Praxis, um den Teilnehmenden die Gefahr restentleerter Gebinde zu verdeutlichen.</w:t>
            </w:r>
          </w:p>
          <w:p w14:paraId="30FF93E8" w14:textId="77777777" w:rsidR="00806ED1" w:rsidRDefault="00806ED1" w:rsidP="005174E0"/>
          <w:tbl>
            <w:tblPr>
              <w:tblStyle w:val="Tabellenraster"/>
              <w:tblW w:w="5386" w:type="dxa"/>
              <w:tblLayout w:type="fixed"/>
              <w:tblLook w:val="04A0" w:firstRow="1" w:lastRow="0" w:firstColumn="1" w:lastColumn="0" w:noHBand="0" w:noVBand="1"/>
            </w:tblPr>
            <w:tblGrid>
              <w:gridCol w:w="5386"/>
            </w:tblGrid>
            <w:tr w:rsidR="00806ED1" w:rsidRPr="005174E0" w14:paraId="0753FF45" w14:textId="77777777" w:rsidTr="122E9224">
              <w:tc>
                <w:tcPr>
                  <w:tcW w:w="5386" w:type="dxa"/>
                  <w:tcBorders>
                    <w:top w:val="nil"/>
                    <w:left w:val="nil"/>
                    <w:bottom w:val="nil"/>
                    <w:right w:val="nil"/>
                  </w:tcBorders>
                  <w:shd w:val="clear" w:color="auto" w:fill="BBD74A"/>
                </w:tcPr>
                <w:p w14:paraId="49A2D862" w14:textId="243AEA6C" w:rsidR="00806ED1" w:rsidRPr="005174E0" w:rsidRDefault="1C2C68A0" w:rsidP="0007478E">
                  <w:pPr>
                    <w:pStyle w:val="StandardPapyrus"/>
                    <w:framePr w:hSpace="142" w:wrap="around" w:vAnchor="text" w:hAnchor="margin" w:xAlign="center" w:y="-23"/>
                    <w:ind w:firstLine="0"/>
                    <w:suppressOverlap/>
                    <w:rPr>
                      <w:rFonts w:eastAsiaTheme="minorEastAsia"/>
                      <w:sz w:val="18"/>
                      <w:szCs w:val="18"/>
                      <w:lang w:eastAsia="en-US" w:bidi="ar-SA"/>
                    </w:rPr>
                  </w:pPr>
                  <w:r w:rsidRPr="122E9224">
                    <w:rPr>
                      <w:rFonts w:eastAsiaTheme="minorEastAsia"/>
                      <w:b/>
                      <w:bCs/>
                      <w:sz w:val="18"/>
                      <w:szCs w:val="18"/>
                      <w:lang w:eastAsia="en-US" w:bidi="ar-SA"/>
                    </w:rPr>
                    <w:t>Ein Fall aus der Praxis:</w:t>
                  </w:r>
                  <w:r w:rsidRPr="122E9224">
                    <w:rPr>
                      <w:rFonts w:eastAsiaTheme="minorEastAsia"/>
                      <w:sz w:val="18"/>
                      <w:szCs w:val="18"/>
                      <w:lang w:eastAsia="en-US" w:bidi="ar-SA"/>
                    </w:rPr>
                    <w:t xml:space="preserve"> </w:t>
                  </w:r>
                  <w:r w:rsidR="014A4562" w:rsidRPr="122E9224">
                    <w:rPr>
                      <w:rFonts w:eastAsiaTheme="minorEastAsia"/>
                      <w:sz w:val="18"/>
                      <w:szCs w:val="18"/>
                      <w:lang w:eastAsia="en-US" w:bidi="ar-SA"/>
                    </w:rPr>
                    <w:t xml:space="preserve">2 </w:t>
                  </w:r>
                  <w:r w:rsidRPr="122E9224">
                    <w:rPr>
                      <w:rFonts w:eastAsiaTheme="minorEastAsia"/>
                      <w:sz w:val="18"/>
                      <w:szCs w:val="18"/>
                      <w:lang w:eastAsia="en-US" w:bidi="ar-SA"/>
                    </w:rPr>
                    <w:t>Mitarbeiter bekommen den Auftrag, alte Öl- und Chemikalienfässer zu reinigen, mit einer Flex aufzutrennen und als Altmetall zu entsorgen. Plötzlich gibt es beim Ansetzen der Flex an einem Fass eine Explosion. Der Mitarbeiter mit der Flex wird schwer am Kopf getroffen und stirbt noch an der Unfallstelle. Der zweite Mitarbeiter verbrennt sich die Beine. Er sagt nachher, sie hätten beide noch nicht mal geahnt, in welcher Gefahr sie sich befanden. „Die Fässer waren doch leer.“ Die Unfall</w:t>
                  </w:r>
                  <w:r w:rsidR="2D3F9989" w:rsidRPr="122E9224">
                    <w:rPr>
                      <w:rFonts w:eastAsiaTheme="minorEastAsia"/>
                      <w:sz w:val="18"/>
                      <w:szCs w:val="18"/>
                      <w:lang w:eastAsia="en-US" w:bidi="ar-SA"/>
                    </w:rPr>
                    <w:t>u</w:t>
                  </w:r>
                  <w:r w:rsidRPr="122E9224">
                    <w:rPr>
                      <w:rFonts w:eastAsiaTheme="minorEastAsia"/>
                      <w:sz w:val="18"/>
                      <w:szCs w:val="18"/>
                      <w:lang w:eastAsia="en-US" w:bidi="ar-SA"/>
                    </w:rPr>
                    <w:t>ntersuchung erg</w:t>
                  </w:r>
                  <w:r w:rsidR="0E1F73CA" w:rsidRPr="122E9224">
                    <w:rPr>
                      <w:rFonts w:eastAsiaTheme="minorEastAsia"/>
                      <w:sz w:val="18"/>
                      <w:szCs w:val="18"/>
                      <w:lang w:eastAsia="en-US" w:bidi="ar-SA"/>
                    </w:rPr>
                    <w:t>ab</w:t>
                  </w:r>
                  <w:r w:rsidRPr="122E9224">
                    <w:rPr>
                      <w:rFonts w:eastAsiaTheme="minorEastAsia"/>
                      <w:sz w:val="18"/>
                      <w:szCs w:val="18"/>
                      <w:lang w:eastAsia="en-US" w:bidi="ar-SA"/>
                    </w:rPr>
                    <w:t>, dass sich in dem Fass Lösemittelrückstände befanden. Die Explosion wurde durch den Funkenflug ausgelöst.</w:t>
                  </w:r>
                </w:p>
              </w:tc>
            </w:tr>
          </w:tbl>
          <w:p w14:paraId="52080561" w14:textId="77777777" w:rsidR="00806ED1" w:rsidRDefault="00806ED1" w:rsidP="00806ED1"/>
        </w:tc>
      </w:tr>
      <w:tr w:rsidR="005174E0" w:rsidRPr="00407A74" w14:paraId="4341A67F" w14:textId="77777777" w:rsidTr="1907B32B">
        <w:trPr>
          <w:trHeight w:hRule="exact" w:val="2552"/>
        </w:trPr>
        <w:tc>
          <w:tcPr>
            <w:tcW w:w="4531" w:type="dxa"/>
            <w:shd w:val="clear" w:color="auto" w:fill="auto"/>
            <w:noWrap/>
            <w:vAlign w:val="bottom"/>
          </w:tcPr>
          <w:p w14:paraId="137FA69E" w14:textId="777C6AE2"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2327A715" w14:textId="5BFDB641" w:rsidR="005174E0" w:rsidRDefault="005174E0" w:rsidP="005174E0">
            <w:r w:rsidRPr="000217A8">
              <w:t>Diskutieren Sie mit den Teilnehmenden, welche Zündquellen in ihrem Arbeitsbereich relevant sind und welche Schutzmaßnahmen sie kennen.</w:t>
            </w:r>
          </w:p>
        </w:tc>
      </w:tr>
      <w:tr w:rsidR="005174E0" w:rsidRPr="00407A74" w14:paraId="32BB0C0F" w14:textId="77777777" w:rsidTr="1907B32B">
        <w:trPr>
          <w:trHeight w:hRule="exact" w:val="7577"/>
        </w:trPr>
        <w:tc>
          <w:tcPr>
            <w:tcW w:w="4531" w:type="dxa"/>
            <w:shd w:val="clear" w:color="auto" w:fill="auto"/>
            <w:noWrap/>
          </w:tcPr>
          <w:p w14:paraId="65BEB532" w14:textId="7B1D64F2" w:rsidR="005174E0" w:rsidRPr="005174E0" w:rsidRDefault="005174E0" w:rsidP="006F7FDE">
            <w:pPr>
              <w:pStyle w:val="Standardb"/>
              <w:framePr w:hSpace="0" w:wrap="auto" w:vAnchor="margin" w:hAnchor="text" w:yAlign="inline"/>
              <w:rPr>
                <w:noProof/>
              </w:rPr>
            </w:pPr>
          </w:p>
        </w:tc>
        <w:tc>
          <w:tcPr>
            <w:tcW w:w="5604" w:type="dxa"/>
            <w:shd w:val="clear" w:color="auto" w:fill="FFFFFF" w:themeFill="background1"/>
            <w:noWrap/>
          </w:tcPr>
          <w:p w14:paraId="113E1CDA" w14:textId="576DDCC8" w:rsidR="005174E0" w:rsidRPr="005174E0" w:rsidRDefault="005174E0" w:rsidP="005174E0">
            <w:pPr>
              <w:rPr>
                <w:rFonts w:cs="Arial"/>
              </w:rPr>
            </w:pPr>
            <w:r w:rsidRPr="122E9224">
              <w:rPr>
                <w:rFonts w:cs="Arial"/>
              </w:rPr>
              <w:t>Nennen Sie jeweils konkrete Beispiele, die auch in Ihrem Betrieb relevant sein könnten</w:t>
            </w:r>
            <w:r w:rsidR="16A1D2EF" w:rsidRPr="122E9224">
              <w:rPr>
                <w:rFonts w:cs="Arial"/>
              </w:rPr>
              <w:t>:</w:t>
            </w:r>
            <w:r w:rsidRPr="122E9224">
              <w:rPr>
                <w:rFonts w:cs="Arial"/>
              </w:rPr>
              <w:t xml:space="preserve"> Gab es bereits Brandereignisse in Ihrem Betrieb? Dann gehen Sie konkret auf diese Beispiele ein. Wenn Sie genug Zeit haben, sammeln Sie die Beispiele gemeinsam mit den Teilnehmenden. </w:t>
            </w:r>
          </w:p>
          <w:p w14:paraId="16E5A0C7" w14:textId="77777777" w:rsidR="005174E0" w:rsidRPr="005174E0" w:rsidRDefault="005174E0" w:rsidP="005174E0">
            <w:pPr>
              <w:rPr>
                <w:rFonts w:cs="Arial"/>
              </w:rPr>
            </w:pPr>
          </w:p>
          <w:p w14:paraId="0255B402" w14:textId="0D4F8571" w:rsidR="005174E0" w:rsidRPr="005174E0" w:rsidRDefault="005174E0" w:rsidP="005174E0">
            <w:pPr>
              <w:rPr>
                <w:rFonts w:cs="Arial"/>
              </w:rPr>
            </w:pPr>
            <w:r w:rsidRPr="122E9224">
              <w:rPr>
                <w:rFonts w:cs="Arial"/>
              </w:rPr>
              <w:t>Für Ihre Vorbereitung einige typische Beispiele aus Gewerbe- und Produktionsbetrieben</w:t>
            </w:r>
            <w:r w:rsidR="69AB4AE1" w:rsidRPr="122E9224">
              <w:rPr>
                <w:rFonts w:cs="Arial"/>
              </w:rPr>
              <w:t>:</w:t>
            </w:r>
            <w:r>
              <w:br/>
            </w:r>
          </w:p>
          <w:p w14:paraId="2CE76FAB" w14:textId="77777777" w:rsidR="005174E0" w:rsidRPr="005174E0" w:rsidRDefault="005174E0" w:rsidP="005174E0">
            <w:pPr>
              <w:pStyle w:val="Listenabsatz"/>
              <w:numPr>
                <w:ilvl w:val="0"/>
                <w:numId w:val="39"/>
              </w:numPr>
              <w:spacing w:before="0" w:line="240" w:lineRule="auto"/>
              <w:rPr>
                <w:rFonts w:ascii="Arial" w:hAnsi="Arial" w:cs="Arial"/>
              </w:rPr>
            </w:pPr>
            <w:r w:rsidRPr="005174E0">
              <w:rPr>
                <w:rFonts w:ascii="Arial" w:hAnsi="Arial" w:cs="Arial"/>
              </w:rPr>
              <w:t>Elektrizität</w:t>
            </w:r>
          </w:p>
          <w:p w14:paraId="45B3BCC7" w14:textId="77777777" w:rsidR="005174E0" w:rsidRPr="005174E0" w:rsidRDefault="005174E0" w:rsidP="005174E0">
            <w:pPr>
              <w:pStyle w:val="Listenabsatz"/>
              <w:numPr>
                <w:ilvl w:val="0"/>
                <w:numId w:val="38"/>
              </w:numPr>
              <w:spacing w:before="0" w:line="240" w:lineRule="auto"/>
              <w:rPr>
                <w:rFonts w:ascii="Arial" w:hAnsi="Arial" w:cs="Arial"/>
              </w:rPr>
            </w:pPr>
            <w:r w:rsidRPr="005174E0">
              <w:rPr>
                <w:rFonts w:ascii="Arial" w:hAnsi="Arial" w:cs="Arial"/>
              </w:rPr>
              <w:t>Überlastung der elektrischen Anlagen</w:t>
            </w:r>
          </w:p>
          <w:p w14:paraId="1B5DFDFB" w14:textId="77777777" w:rsidR="005174E0" w:rsidRPr="005174E0" w:rsidRDefault="005174E0" w:rsidP="005174E0">
            <w:pPr>
              <w:pStyle w:val="Listenabsatz"/>
              <w:numPr>
                <w:ilvl w:val="0"/>
                <w:numId w:val="38"/>
              </w:numPr>
              <w:spacing w:before="0" w:line="240" w:lineRule="auto"/>
              <w:rPr>
                <w:rFonts w:ascii="Arial" w:hAnsi="Arial" w:cs="Arial"/>
              </w:rPr>
            </w:pPr>
            <w:r w:rsidRPr="005174E0">
              <w:rPr>
                <w:rFonts w:ascii="Arial" w:hAnsi="Arial" w:cs="Arial"/>
              </w:rPr>
              <w:t>Defekte elektrische Geräte</w:t>
            </w:r>
          </w:p>
          <w:p w14:paraId="7FE537EF" w14:textId="77777777" w:rsidR="005174E0" w:rsidRPr="005174E0" w:rsidRDefault="005174E0" w:rsidP="005174E0">
            <w:pPr>
              <w:pStyle w:val="Listenabsatz"/>
              <w:numPr>
                <w:ilvl w:val="0"/>
                <w:numId w:val="38"/>
              </w:numPr>
              <w:spacing w:before="0" w:line="240" w:lineRule="auto"/>
              <w:rPr>
                <w:rFonts w:ascii="Arial" w:hAnsi="Arial" w:cs="Arial"/>
              </w:rPr>
            </w:pPr>
            <w:r w:rsidRPr="005174E0">
              <w:rPr>
                <w:rFonts w:ascii="Arial" w:hAnsi="Arial" w:cs="Arial"/>
              </w:rPr>
              <w:t>Reihenschaltung von Mehrfachsteckdosen</w:t>
            </w:r>
          </w:p>
          <w:p w14:paraId="179FBD0B" w14:textId="77777777" w:rsidR="005174E0" w:rsidRPr="005174E0" w:rsidRDefault="005174E0" w:rsidP="005174E0">
            <w:pPr>
              <w:pStyle w:val="Listenabsatz"/>
              <w:numPr>
                <w:ilvl w:val="0"/>
                <w:numId w:val="39"/>
              </w:numPr>
              <w:spacing w:before="0" w:line="240" w:lineRule="auto"/>
              <w:rPr>
                <w:rFonts w:ascii="Arial" w:hAnsi="Arial" w:cs="Arial"/>
              </w:rPr>
            </w:pPr>
            <w:r w:rsidRPr="005174E0">
              <w:rPr>
                <w:rFonts w:ascii="Arial" w:hAnsi="Arial" w:cs="Arial"/>
              </w:rPr>
              <w:t>Menschliches Fehlverhalten</w:t>
            </w:r>
          </w:p>
          <w:p w14:paraId="66241427" w14:textId="77777777" w:rsidR="005174E0" w:rsidRPr="005174E0" w:rsidRDefault="005174E0" w:rsidP="005174E0">
            <w:pPr>
              <w:pStyle w:val="Listenabsatz"/>
              <w:numPr>
                <w:ilvl w:val="0"/>
                <w:numId w:val="40"/>
              </w:numPr>
              <w:spacing w:before="0" w:line="240" w:lineRule="auto"/>
              <w:rPr>
                <w:rFonts w:ascii="Arial" w:hAnsi="Arial" w:cs="Arial"/>
              </w:rPr>
            </w:pPr>
            <w:r w:rsidRPr="005174E0">
              <w:rPr>
                <w:rFonts w:ascii="Arial" w:hAnsi="Arial" w:cs="Arial"/>
              </w:rPr>
              <w:t>Nichteinhalten von Rauchverboten</w:t>
            </w:r>
          </w:p>
          <w:p w14:paraId="11260F1C" w14:textId="77777777" w:rsidR="005174E0" w:rsidRPr="005174E0" w:rsidRDefault="005174E0" w:rsidP="005174E0">
            <w:pPr>
              <w:pStyle w:val="Listenabsatz"/>
              <w:numPr>
                <w:ilvl w:val="0"/>
                <w:numId w:val="40"/>
              </w:numPr>
              <w:spacing w:before="0" w:line="240" w:lineRule="auto"/>
              <w:rPr>
                <w:rFonts w:ascii="Arial" w:hAnsi="Arial" w:cs="Arial"/>
              </w:rPr>
            </w:pPr>
            <w:r w:rsidRPr="005174E0">
              <w:rPr>
                <w:rFonts w:ascii="Arial" w:hAnsi="Arial" w:cs="Arial"/>
              </w:rPr>
              <w:t>Fehlende Schutzmaßnahmen bei Verwendung entzündbarer Flüssigkeiten</w:t>
            </w:r>
          </w:p>
          <w:p w14:paraId="7C1E7112" w14:textId="77777777" w:rsidR="005174E0" w:rsidRPr="005174E0" w:rsidRDefault="005174E0" w:rsidP="005174E0">
            <w:pPr>
              <w:pStyle w:val="Listenabsatz"/>
              <w:numPr>
                <w:ilvl w:val="0"/>
                <w:numId w:val="40"/>
              </w:numPr>
              <w:spacing w:before="0" w:line="240" w:lineRule="auto"/>
              <w:rPr>
                <w:rFonts w:ascii="Arial" w:hAnsi="Arial" w:cs="Arial"/>
              </w:rPr>
            </w:pPr>
            <w:r w:rsidRPr="005174E0">
              <w:rPr>
                <w:rFonts w:ascii="Arial" w:hAnsi="Arial" w:cs="Arial"/>
              </w:rPr>
              <w:t>Lagerung von Brandlasten in Ladebereichen von Flurförderzeugen</w:t>
            </w:r>
          </w:p>
          <w:p w14:paraId="36E4BFD1" w14:textId="77777777" w:rsidR="005174E0" w:rsidRPr="005174E0" w:rsidRDefault="005174E0" w:rsidP="005174E0">
            <w:pPr>
              <w:pStyle w:val="Listenabsatz"/>
              <w:numPr>
                <w:ilvl w:val="0"/>
                <w:numId w:val="40"/>
              </w:numPr>
              <w:spacing w:before="0" w:line="240" w:lineRule="auto"/>
              <w:rPr>
                <w:rFonts w:ascii="Arial" w:hAnsi="Arial" w:cs="Arial"/>
              </w:rPr>
            </w:pPr>
            <w:r w:rsidRPr="005174E0">
              <w:rPr>
                <w:rFonts w:ascii="Arial" w:hAnsi="Arial" w:cs="Arial"/>
              </w:rPr>
              <w:t>Falsche Lagerung von Lithium-Ionen-Akkus</w:t>
            </w:r>
          </w:p>
          <w:p w14:paraId="009F8D92" w14:textId="77777777" w:rsidR="005174E0" w:rsidRPr="005174E0" w:rsidRDefault="005174E0" w:rsidP="005174E0">
            <w:pPr>
              <w:pStyle w:val="Listenabsatz"/>
              <w:numPr>
                <w:ilvl w:val="0"/>
                <w:numId w:val="39"/>
              </w:numPr>
              <w:spacing w:before="0" w:line="240" w:lineRule="auto"/>
              <w:rPr>
                <w:rFonts w:ascii="Arial" w:hAnsi="Arial" w:cs="Arial"/>
              </w:rPr>
            </w:pPr>
            <w:r w:rsidRPr="005174E0">
              <w:rPr>
                <w:rFonts w:ascii="Arial" w:hAnsi="Arial" w:cs="Arial"/>
              </w:rPr>
              <w:t>Überhitzung</w:t>
            </w:r>
          </w:p>
          <w:p w14:paraId="0406C8F3" w14:textId="77777777" w:rsidR="005174E0" w:rsidRPr="005174E0" w:rsidRDefault="005174E0" w:rsidP="005174E0">
            <w:pPr>
              <w:pStyle w:val="Listenabsatz"/>
              <w:numPr>
                <w:ilvl w:val="0"/>
                <w:numId w:val="41"/>
              </w:numPr>
              <w:spacing w:before="0" w:line="240" w:lineRule="auto"/>
              <w:rPr>
                <w:rFonts w:ascii="Arial" w:hAnsi="Arial" w:cs="Arial"/>
              </w:rPr>
            </w:pPr>
            <w:r w:rsidRPr="005174E0">
              <w:rPr>
                <w:rFonts w:ascii="Arial" w:hAnsi="Arial" w:cs="Arial"/>
              </w:rPr>
              <w:t>Heizelemente von Wärmeplatten, Kaffeemaschinen, Heizöfen</w:t>
            </w:r>
          </w:p>
          <w:p w14:paraId="1357BA85" w14:textId="77777777" w:rsidR="005174E0" w:rsidRPr="005174E0" w:rsidRDefault="005174E0" w:rsidP="005174E0">
            <w:pPr>
              <w:pStyle w:val="Listenabsatz"/>
              <w:numPr>
                <w:ilvl w:val="0"/>
                <w:numId w:val="41"/>
              </w:numPr>
              <w:spacing w:before="0" w:line="240" w:lineRule="auto"/>
              <w:rPr>
                <w:rFonts w:ascii="Arial" w:hAnsi="Arial" w:cs="Arial"/>
              </w:rPr>
            </w:pPr>
            <w:r w:rsidRPr="005174E0">
              <w:rPr>
                <w:rFonts w:ascii="Arial" w:hAnsi="Arial" w:cs="Arial"/>
              </w:rPr>
              <w:t>Lagerung brennbarer Stoffe in der Nähe von Heizungen und Lampen</w:t>
            </w:r>
          </w:p>
          <w:p w14:paraId="279B2DAF" w14:textId="77777777" w:rsidR="005174E0" w:rsidRPr="005174E0" w:rsidRDefault="005174E0" w:rsidP="005174E0">
            <w:pPr>
              <w:pStyle w:val="Listenabsatz"/>
              <w:numPr>
                <w:ilvl w:val="0"/>
                <w:numId w:val="39"/>
              </w:numPr>
              <w:spacing w:before="0" w:line="240" w:lineRule="auto"/>
              <w:rPr>
                <w:rFonts w:ascii="Arial" w:hAnsi="Arial" w:cs="Arial"/>
              </w:rPr>
            </w:pPr>
            <w:r w:rsidRPr="005174E0">
              <w:rPr>
                <w:rFonts w:ascii="Arial" w:hAnsi="Arial" w:cs="Arial"/>
              </w:rPr>
              <w:t>Brandstiftung</w:t>
            </w:r>
          </w:p>
          <w:p w14:paraId="073450F9" w14:textId="7FE9F27E" w:rsidR="005174E0" w:rsidRPr="005174E0" w:rsidRDefault="005174E0" w:rsidP="005174E0">
            <w:pPr>
              <w:pStyle w:val="Listenabsatz"/>
              <w:numPr>
                <w:ilvl w:val="0"/>
                <w:numId w:val="42"/>
              </w:numPr>
              <w:spacing w:before="0" w:line="240" w:lineRule="auto"/>
              <w:rPr>
                <w:rFonts w:ascii="Arial" w:hAnsi="Arial" w:cs="Arial"/>
              </w:rPr>
            </w:pPr>
            <w:r w:rsidRPr="122E9224">
              <w:rPr>
                <w:rFonts w:ascii="Arial" w:hAnsi="Arial" w:cs="Arial"/>
              </w:rPr>
              <w:t>Lagerung großer Mengen brennbarer Stoffe in frei zugänglichen (Außen-)Bereichen in der Nähe der Gebäudewand</w:t>
            </w:r>
          </w:p>
          <w:p w14:paraId="7D132790" w14:textId="77777777" w:rsidR="005174E0" w:rsidRPr="005174E0" w:rsidRDefault="005174E0" w:rsidP="005174E0">
            <w:pPr>
              <w:pStyle w:val="Listenabsatz"/>
              <w:numPr>
                <w:ilvl w:val="0"/>
                <w:numId w:val="39"/>
              </w:numPr>
              <w:spacing w:before="0" w:line="240" w:lineRule="auto"/>
              <w:rPr>
                <w:rFonts w:ascii="Arial" w:hAnsi="Arial" w:cs="Arial"/>
              </w:rPr>
            </w:pPr>
            <w:r w:rsidRPr="005174E0">
              <w:rPr>
                <w:rFonts w:ascii="Arial" w:hAnsi="Arial" w:cs="Arial"/>
              </w:rPr>
              <w:t>Feuergefährliche Arbeiten</w:t>
            </w:r>
          </w:p>
          <w:p w14:paraId="62E1A79C" w14:textId="77777777" w:rsidR="005174E0" w:rsidRPr="005174E0" w:rsidRDefault="005174E0" w:rsidP="005174E0">
            <w:pPr>
              <w:pStyle w:val="Listenabsatz"/>
              <w:numPr>
                <w:ilvl w:val="0"/>
                <w:numId w:val="42"/>
              </w:numPr>
              <w:spacing w:before="0" w:line="240" w:lineRule="auto"/>
              <w:rPr>
                <w:rFonts w:ascii="Arial" w:hAnsi="Arial" w:cs="Arial"/>
              </w:rPr>
            </w:pPr>
            <w:r w:rsidRPr="005174E0">
              <w:rPr>
                <w:rFonts w:ascii="Arial" w:hAnsi="Arial" w:cs="Arial"/>
              </w:rPr>
              <w:t>Schweißen, Trennschleifen, Brennschneiden</w:t>
            </w:r>
          </w:p>
          <w:p w14:paraId="603A2C1C" w14:textId="05E805E2" w:rsidR="005174E0" w:rsidRPr="005174E0" w:rsidRDefault="005174E0" w:rsidP="005174E0">
            <w:pPr>
              <w:pStyle w:val="Listenabsatz"/>
              <w:numPr>
                <w:ilvl w:val="0"/>
                <w:numId w:val="42"/>
              </w:numPr>
              <w:rPr>
                <w:rFonts w:ascii="Arial" w:hAnsi="Arial" w:cs="Arial"/>
              </w:rPr>
            </w:pPr>
            <w:r w:rsidRPr="005174E0">
              <w:rPr>
                <w:rFonts w:ascii="Arial" w:hAnsi="Arial" w:cs="Arial"/>
              </w:rPr>
              <w:t>Unkraut flämmen</w:t>
            </w:r>
          </w:p>
        </w:tc>
      </w:tr>
      <w:tr w:rsidR="005174E0" w:rsidRPr="00407A74" w14:paraId="2900B0BB" w14:textId="77777777" w:rsidTr="1907B32B">
        <w:trPr>
          <w:trHeight w:hRule="exact" w:val="2552"/>
        </w:trPr>
        <w:tc>
          <w:tcPr>
            <w:tcW w:w="4531" w:type="dxa"/>
            <w:shd w:val="clear" w:color="auto" w:fill="auto"/>
            <w:noWrap/>
            <w:vAlign w:val="bottom"/>
          </w:tcPr>
          <w:p w14:paraId="62A8A69B" w14:textId="31B69A11"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7B0C7C12" w14:textId="7314C556" w:rsidR="005174E0" w:rsidRDefault="005174E0" w:rsidP="005174E0">
            <w:r>
              <w:t>Gehen Sie an dieser Stelle darauf ein, ob private elektrische Geräte bei Ihnen im Betrieb zugelassen sind und welche besonderen Regelungen hier gelten (z. B. Elektro</w:t>
            </w:r>
            <w:r w:rsidR="1C07356D">
              <w:t>p</w:t>
            </w:r>
            <w:r>
              <w:t>rüfung durch Instandhaltung).</w:t>
            </w:r>
          </w:p>
        </w:tc>
      </w:tr>
      <w:tr w:rsidR="005174E0" w:rsidRPr="00407A74" w14:paraId="5F913366" w14:textId="77777777" w:rsidTr="1907B32B">
        <w:trPr>
          <w:trHeight w:hRule="exact" w:val="2552"/>
        </w:trPr>
        <w:tc>
          <w:tcPr>
            <w:tcW w:w="4531" w:type="dxa"/>
            <w:shd w:val="clear" w:color="auto" w:fill="auto"/>
            <w:noWrap/>
            <w:vAlign w:val="bottom"/>
          </w:tcPr>
          <w:p w14:paraId="6E10CF64" w14:textId="45414548"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15F127D1" w14:textId="41DD505D" w:rsidR="005174E0" w:rsidRDefault="005174E0" w:rsidP="005174E0">
            <w:r>
              <w:t>Erläutern Sie das betriebliche Erlaubnisscheinverfahren für Heißarbeiten. E</w:t>
            </w:r>
            <w:r w:rsidR="5ADD2B16">
              <w:t xml:space="preserve">rklären </w:t>
            </w:r>
            <w:r>
              <w:t>Sie den Mitarbeitenden, wann dies erforderlich ist und wer den Erlaubnisschein ausfüllen darf.</w:t>
            </w:r>
          </w:p>
        </w:tc>
      </w:tr>
      <w:tr w:rsidR="005174E0" w:rsidRPr="00407A74" w14:paraId="534DDC9E" w14:textId="77777777" w:rsidTr="1907B32B">
        <w:trPr>
          <w:trHeight w:hRule="exact" w:val="2552"/>
        </w:trPr>
        <w:tc>
          <w:tcPr>
            <w:tcW w:w="4531" w:type="dxa"/>
            <w:shd w:val="clear" w:color="auto" w:fill="auto"/>
            <w:noWrap/>
            <w:vAlign w:val="bottom"/>
          </w:tcPr>
          <w:p w14:paraId="5EA52DB9" w14:textId="740BC374"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30A10092" w14:textId="7D18192C" w:rsidR="005174E0" w:rsidRDefault="005174E0" w:rsidP="005174E0">
            <w:r>
              <w:t>Ergänzen Sie an dieser Stelle grundlegende Verhaltensregeln zum Brandschutz in Ihrem Betrieb. Gleichen Sie die Regelungen mit den Vorgaben Ihrer Brandschutzordnung Teil B bzw. anderen betrieblichen Festlegungen ab, falls vorhanden.</w:t>
            </w:r>
          </w:p>
          <w:p w14:paraId="01D7EA8D" w14:textId="2B9FA00E" w:rsidR="005174E0" w:rsidRDefault="005174E0" w:rsidP="005174E0">
            <w:pPr>
              <w:tabs>
                <w:tab w:val="left" w:pos="1630"/>
              </w:tabs>
            </w:pPr>
          </w:p>
        </w:tc>
      </w:tr>
      <w:tr w:rsidR="005174E0" w:rsidRPr="00407A74" w14:paraId="411D4A57" w14:textId="77777777" w:rsidTr="1907B32B">
        <w:trPr>
          <w:trHeight w:hRule="exact" w:val="2552"/>
        </w:trPr>
        <w:tc>
          <w:tcPr>
            <w:tcW w:w="4531" w:type="dxa"/>
            <w:shd w:val="clear" w:color="auto" w:fill="auto"/>
            <w:noWrap/>
            <w:vAlign w:val="bottom"/>
          </w:tcPr>
          <w:p w14:paraId="27F67D7D" w14:textId="0256335A" w:rsidR="005174E0" w:rsidRDefault="005174E0" w:rsidP="005174E0">
            <w:pPr>
              <w:pStyle w:val="Standardb"/>
              <w:framePr w:hSpace="0" w:wrap="auto" w:vAnchor="margin" w:hAnchor="text" w:yAlign="inline"/>
              <w:rPr>
                <w:noProof/>
              </w:rPr>
            </w:pPr>
          </w:p>
        </w:tc>
        <w:tc>
          <w:tcPr>
            <w:tcW w:w="5604" w:type="dxa"/>
            <w:shd w:val="clear" w:color="auto" w:fill="FFFFFF" w:themeFill="background1"/>
            <w:noWrap/>
          </w:tcPr>
          <w:p w14:paraId="3638EE5E" w14:textId="39DA17C7" w:rsidR="005174E0" w:rsidRDefault="005174E0" w:rsidP="005174E0">
            <w:r>
              <w:t xml:space="preserve">Tauschen Sie das Foto ggf. durch Bilder verstellter Flucht- und Rettungswege aus früheren Begehungen im Betrieb aus. Dies macht den Teilnehmenden klar: </w:t>
            </w:r>
            <w:r w:rsidR="4981EF9C">
              <w:t>E</w:t>
            </w:r>
            <w:r>
              <w:t>s geht hier um meinen Arbeitsplatz.</w:t>
            </w:r>
          </w:p>
        </w:tc>
      </w:tr>
      <w:tr w:rsidR="005174E0" w:rsidRPr="00407A74" w14:paraId="7008BBC0" w14:textId="77777777" w:rsidTr="1907B32B">
        <w:trPr>
          <w:trHeight w:hRule="exact" w:val="3158"/>
        </w:trPr>
        <w:tc>
          <w:tcPr>
            <w:tcW w:w="4531" w:type="dxa"/>
            <w:shd w:val="clear" w:color="auto" w:fill="auto"/>
            <w:noWrap/>
          </w:tcPr>
          <w:p w14:paraId="3DF546B9" w14:textId="3FFCC110" w:rsidR="005174E0" w:rsidRDefault="005174E0" w:rsidP="006F7FDE">
            <w:pPr>
              <w:pStyle w:val="Standardb"/>
              <w:framePr w:hSpace="0" w:wrap="auto" w:vAnchor="margin" w:hAnchor="text" w:yAlign="inline"/>
              <w:rPr>
                <w:noProof/>
              </w:rPr>
            </w:pPr>
          </w:p>
        </w:tc>
        <w:tc>
          <w:tcPr>
            <w:tcW w:w="5604" w:type="dxa"/>
            <w:shd w:val="clear" w:color="auto" w:fill="FFFFFF" w:themeFill="background1"/>
            <w:noWrap/>
          </w:tcPr>
          <w:p w14:paraId="0F8F2594" w14:textId="77777777" w:rsidR="005174E0" w:rsidRDefault="005174E0" w:rsidP="005174E0">
            <w:r w:rsidRPr="00EE2E94">
              <w:t>Die Arbeitsstättenregeln fordern, den Flucht- und Rettungsplan in die Unterweisung einzubeziehen und diese durch die Begehung der Fluchtwege zu unterstützen.</w:t>
            </w:r>
          </w:p>
          <w:p w14:paraId="01A14E46" w14:textId="77777777" w:rsidR="005174E0" w:rsidRDefault="005174E0" w:rsidP="005174E0"/>
          <w:tbl>
            <w:tblPr>
              <w:tblStyle w:val="Tabellenraster"/>
              <w:tblW w:w="5386" w:type="dxa"/>
              <w:tblLayout w:type="fixed"/>
              <w:tblLook w:val="04A0" w:firstRow="1" w:lastRow="0" w:firstColumn="1" w:lastColumn="0" w:noHBand="0" w:noVBand="1"/>
            </w:tblPr>
            <w:tblGrid>
              <w:gridCol w:w="5386"/>
            </w:tblGrid>
            <w:tr w:rsidR="005174E0" w14:paraId="68E1B790" w14:textId="77777777" w:rsidTr="007E3AFE">
              <w:tc>
                <w:tcPr>
                  <w:tcW w:w="5386" w:type="dxa"/>
                  <w:tcBorders>
                    <w:top w:val="nil"/>
                    <w:left w:val="nil"/>
                    <w:bottom w:val="nil"/>
                    <w:right w:val="nil"/>
                  </w:tcBorders>
                  <w:shd w:val="clear" w:color="auto" w:fill="BBD74A"/>
                </w:tcPr>
                <w:p w14:paraId="24448D0D" w14:textId="77777777" w:rsidR="005174E0" w:rsidRDefault="005174E0" w:rsidP="0007478E">
                  <w:pPr>
                    <w:framePr w:hSpace="142" w:wrap="around" w:vAnchor="text" w:hAnchor="margin" w:xAlign="center" w:y="-23"/>
                    <w:suppressOverlap/>
                  </w:pPr>
                  <w:r w:rsidRPr="00D35DEF">
                    <w:rPr>
                      <w:b/>
                      <w:bCs/>
                    </w:rPr>
                    <w:t>Tipp:</w:t>
                  </w:r>
                  <w:r>
                    <w:t xml:space="preserve"> </w:t>
                  </w:r>
                  <w:r w:rsidRPr="00EE2E94">
                    <w:t>Beenden Sie diesen Abschnitt der Unterweisung mit einer praktischen Begehung der Fluchtwege und achten Sie in diesem Zusammenhang darauf, ob die Fluchtwege frei sind.</w:t>
                  </w:r>
                  <w:r>
                    <w:t xml:space="preserve"> </w:t>
                  </w:r>
                </w:p>
                <w:p w14:paraId="74E3F959" w14:textId="77777777" w:rsidR="005174E0" w:rsidRDefault="005174E0" w:rsidP="0007478E">
                  <w:pPr>
                    <w:framePr w:hSpace="142" w:wrap="around" w:vAnchor="text" w:hAnchor="margin" w:xAlign="center" w:y="-23"/>
                    <w:suppressOverlap/>
                  </w:pPr>
                  <w:r>
                    <w:t>Dies lockert die Unterweisung zusätzlich auf und macht den Kopf frei für den nächsten Abschnitt.</w:t>
                  </w:r>
                </w:p>
              </w:tc>
            </w:tr>
          </w:tbl>
          <w:p w14:paraId="05A6EE18" w14:textId="77777777" w:rsidR="005174E0" w:rsidRDefault="005174E0" w:rsidP="005174E0"/>
        </w:tc>
      </w:tr>
      <w:tr w:rsidR="00037AF1" w:rsidRPr="00407A74" w14:paraId="66E4A8DF" w14:textId="77777777" w:rsidTr="1907B32B">
        <w:trPr>
          <w:trHeight w:hRule="exact" w:val="2552"/>
        </w:trPr>
        <w:tc>
          <w:tcPr>
            <w:tcW w:w="4531" w:type="dxa"/>
            <w:shd w:val="clear" w:color="auto" w:fill="auto"/>
            <w:noWrap/>
            <w:vAlign w:val="bottom"/>
          </w:tcPr>
          <w:p w14:paraId="2A34493D" w14:textId="5E875396"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32EA7058" w14:textId="4F62881E" w:rsidR="00037AF1" w:rsidRDefault="00037AF1" w:rsidP="00037AF1">
            <w:r>
              <w:t>In diesem Abschnitt vermitteln Sie den Teilnehmenden, wie sie sich im Brandfall richtig verhalten.</w:t>
            </w:r>
          </w:p>
        </w:tc>
      </w:tr>
      <w:tr w:rsidR="00037AF1" w:rsidRPr="00407A74" w14:paraId="754156D3" w14:textId="77777777" w:rsidTr="1907B32B">
        <w:trPr>
          <w:trHeight w:hRule="exact" w:val="2552"/>
        </w:trPr>
        <w:tc>
          <w:tcPr>
            <w:tcW w:w="4531" w:type="dxa"/>
            <w:shd w:val="clear" w:color="auto" w:fill="auto"/>
            <w:noWrap/>
            <w:vAlign w:val="bottom"/>
          </w:tcPr>
          <w:p w14:paraId="7A0CC6E4" w14:textId="089E8AFF"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036F7282" w14:textId="2E32953F" w:rsidR="00037AF1" w:rsidRPr="00EE2E94" w:rsidRDefault="22EECFAC" w:rsidP="00037AF1">
            <w:r>
              <w:t>Kohlenmonoxid und Kohlendioxid sind Verbrennungsprodukte, die zu einer Atemlähmung und damit zum Erstickungstod führen</w:t>
            </w:r>
            <w:r w:rsidR="104A3AF3">
              <w:t>.</w:t>
            </w:r>
            <w:r>
              <w:t xml:space="preserve"> </w:t>
            </w:r>
          </w:p>
          <w:p w14:paraId="6588A1FE" w14:textId="77777777" w:rsidR="00037AF1" w:rsidRPr="00EE2E94" w:rsidRDefault="00037AF1" w:rsidP="00037AF1"/>
          <w:p w14:paraId="5737082C" w14:textId="45BB7307" w:rsidR="00037AF1" w:rsidRDefault="00037AF1" w:rsidP="00037AF1">
            <w:r w:rsidRPr="00EE2E94">
              <w:t>Gase und Dämpfe aus der Verbrennung von Kunststoffen sind giftig und wirken auf Blut, Nerven und Zellen</w:t>
            </w:r>
            <w:r>
              <w:t>.</w:t>
            </w:r>
          </w:p>
        </w:tc>
      </w:tr>
      <w:tr w:rsidR="00037AF1" w:rsidRPr="00407A74" w14:paraId="3FDB3D7E" w14:textId="77777777" w:rsidTr="1907B32B">
        <w:trPr>
          <w:trHeight w:hRule="exact" w:val="2552"/>
        </w:trPr>
        <w:tc>
          <w:tcPr>
            <w:tcW w:w="4531" w:type="dxa"/>
            <w:shd w:val="clear" w:color="auto" w:fill="auto"/>
            <w:noWrap/>
            <w:vAlign w:val="bottom"/>
          </w:tcPr>
          <w:p w14:paraId="17A30C5B" w14:textId="45470286"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62C084DF" w14:textId="77777777" w:rsidR="00037AF1" w:rsidRPr="00EE2E94" w:rsidRDefault="00037AF1" w:rsidP="00037AF1">
            <w:r w:rsidRPr="00EE2E94">
              <w:t xml:space="preserve">Schaumstoff ist z. B. in Polsterungen von Möbeln enthalten. </w:t>
            </w:r>
          </w:p>
          <w:p w14:paraId="622AD754" w14:textId="77777777" w:rsidR="00037AF1" w:rsidRDefault="00037AF1" w:rsidP="00037AF1"/>
          <w:p w14:paraId="651DB5FB" w14:textId="32DCF835" w:rsidR="00037AF1" w:rsidRDefault="00037AF1" w:rsidP="00037AF1">
            <w:r w:rsidRPr="00EE2E94">
              <w:t>Stellen Sie für die Teilnehmenden einen Vergleich her: Wie groß ist das Büro / die Halle / der Arbeitsraum?</w:t>
            </w:r>
          </w:p>
        </w:tc>
      </w:tr>
      <w:tr w:rsidR="00037AF1" w:rsidRPr="00407A74" w14:paraId="37B04EBB" w14:textId="77777777" w:rsidTr="1907B32B">
        <w:trPr>
          <w:trHeight w:hRule="exact" w:val="2552"/>
        </w:trPr>
        <w:tc>
          <w:tcPr>
            <w:tcW w:w="4531" w:type="dxa"/>
            <w:shd w:val="clear" w:color="auto" w:fill="auto"/>
            <w:noWrap/>
            <w:vAlign w:val="bottom"/>
          </w:tcPr>
          <w:p w14:paraId="3EEEE285" w14:textId="503896C3"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6D74DF88" w14:textId="67F73C43" w:rsidR="00037AF1" w:rsidRDefault="22EECFAC" w:rsidP="00037AF1">
            <w:r>
              <w:t>Das Unterweisungsvideo vermittelt, wie wichtig es ist, im Fall eines Alarms sofort den Sammelplatz aufzusuchen.</w:t>
            </w:r>
          </w:p>
        </w:tc>
      </w:tr>
      <w:tr w:rsidR="00037AF1" w:rsidRPr="00407A74" w14:paraId="61B5FB57" w14:textId="77777777" w:rsidTr="1907B32B">
        <w:trPr>
          <w:trHeight w:hRule="exact" w:val="2552"/>
        </w:trPr>
        <w:tc>
          <w:tcPr>
            <w:tcW w:w="4531" w:type="dxa"/>
            <w:shd w:val="clear" w:color="auto" w:fill="auto"/>
            <w:noWrap/>
            <w:vAlign w:val="bottom"/>
          </w:tcPr>
          <w:p w14:paraId="29A32524" w14:textId="25FC86A4"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69A67397" w14:textId="77777777" w:rsidR="00037AF1" w:rsidRPr="00EE2E94" w:rsidRDefault="00037AF1" w:rsidP="00037AF1">
            <w:r w:rsidRPr="00EE2E94">
              <w:t xml:space="preserve">Tragen Sie hier die Notfallnummer ein, die die Mitarbeitenden anrufen sollen.  </w:t>
            </w:r>
            <w:r w:rsidRPr="00EE2E94">
              <w:br/>
              <w:t>Dies ist im Regelfall die 112, kann jedoch auch die Nummer Ihrer Werksfeuerwehr sein, falls vorhanden.</w:t>
            </w:r>
          </w:p>
          <w:p w14:paraId="72D49DC8" w14:textId="31AD60A4" w:rsidR="00037AF1" w:rsidRDefault="00037AF1" w:rsidP="00037AF1">
            <w:r w:rsidRPr="00EE2E94">
              <w:t>Gehen Sie darauf ein, falls Ihre Telefonanlage vorweg eine „0“ benötigt, um einen Anruf nach außen zu erlauben.</w:t>
            </w:r>
          </w:p>
        </w:tc>
      </w:tr>
      <w:tr w:rsidR="00037AF1" w:rsidRPr="00407A74" w14:paraId="1D249566" w14:textId="77777777" w:rsidTr="1907B32B">
        <w:trPr>
          <w:trHeight w:hRule="exact" w:val="2552"/>
        </w:trPr>
        <w:tc>
          <w:tcPr>
            <w:tcW w:w="4531" w:type="dxa"/>
            <w:shd w:val="clear" w:color="auto" w:fill="auto"/>
            <w:noWrap/>
            <w:vAlign w:val="bottom"/>
          </w:tcPr>
          <w:p w14:paraId="7BBE4228" w14:textId="63C60636"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4CFCE687" w14:textId="4CCBEBDD" w:rsidR="00037AF1" w:rsidRPr="00EE2E94" w:rsidRDefault="00037AF1" w:rsidP="00037AF1">
            <w:r w:rsidRPr="00460F91">
              <w:t>Erläutern Sie die Zeichen, die im Betrieb zum Einsatz kommen.</w:t>
            </w:r>
          </w:p>
        </w:tc>
      </w:tr>
      <w:tr w:rsidR="00037AF1" w:rsidRPr="00407A74" w14:paraId="6F99AD12" w14:textId="77777777" w:rsidTr="1907B32B">
        <w:trPr>
          <w:trHeight w:hRule="exact" w:val="2552"/>
        </w:trPr>
        <w:tc>
          <w:tcPr>
            <w:tcW w:w="4531" w:type="dxa"/>
            <w:shd w:val="clear" w:color="auto" w:fill="auto"/>
            <w:noWrap/>
            <w:vAlign w:val="bottom"/>
          </w:tcPr>
          <w:p w14:paraId="0DC29585" w14:textId="3EE92E24"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7CEEC8C8" w14:textId="73ED64F1" w:rsidR="00037AF1" w:rsidRPr="00037AF1" w:rsidRDefault="00037AF1" w:rsidP="00037AF1">
            <w:pPr>
              <w:tabs>
                <w:tab w:val="left" w:pos="1760"/>
              </w:tabs>
            </w:pPr>
            <w:r w:rsidRPr="00460F91">
              <w:t>Erläutern Sie die Zeichen, die im Betrieb zum Einsatz kommen.</w:t>
            </w:r>
          </w:p>
        </w:tc>
      </w:tr>
      <w:tr w:rsidR="00037AF1" w:rsidRPr="00407A74" w14:paraId="4A307342" w14:textId="77777777" w:rsidTr="1907B32B">
        <w:trPr>
          <w:trHeight w:hRule="exact" w:val="2552"/>
        </w:trPr>
        <w:tc>
          <w:tcPr>
            <w:tcW w:w="4531" w:type="dxa"/>
            <w:shd w:val="clear" w:color="auto" w:fill="auto"/>
            <w:noWrap/>
            <w:vAlign w:val="bottom"/>
          </w:tcPr>
          <w:p w14:paraId="655404AC" w14:textId="129C03D5"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43FAA905" w14:textId="77777777" w:rsidR="00037AF1" w:rsidRPr="00DA6F01" w:rsidRDefault="00037AF1" w:rsidP="00037AF1">
            <w:r w:rsidRPr="00DA6F01">
              <w:t>Sicherung von besonderen Einrichtungen:</w:t>
            </w:r>
            <w:r w:rsidRPr="00DA6F01">
              <w:br/>
              <w:t>Gehen Sie an dieser Stelle darauf ein, wo sich die entsprechenden Schalter befinden und welche Mitarbeitenden für das Abschalten bzw. Absperren verantwortlich sind.</w:t>
            </w:r>
          </w:p>
          <w:p w14:paraId="0232F4FE" w14:textId="77777777" w:rsidR="00037AF1" w:rsidRPr="00DA6F01" w:rsidRDefault="00037AF1" w:rsidP="00037AF1"/>
          <w:p w14:paraId="6344319E" w14:textId="77ED7562" w:rsidR="00037AF1" w:rsidRPr="00EE2E94" w:rsidRDefault="00037AF1" w:rsidP="00037AF1">
            <w:r w:rsidRPr="00DA6F01">
              <w:t>Einweisung der Einsatzkräfte:</w:t>
            </w:r>
            <w:r w:rsidRPr="00DA6F01">
              <w:br/>
            </w:r>
            <w:r w:rsidRPr="00460F91">
              <w:t>Weisen Sie ggf. an dieser Stelle auch darauf hin, dass nur die Geschäftsführung berechtigt ist, der Presse Auskünfte zu erteilen.</w:t>
            </w:r>
          </w:p>
        </w:tc>
      </w:tr>
      <w:tr w:rsidR="00037AF1" w:rsidRPr="00407A74" w14:paraId="5DCCF0BE" w14:textId="77777777" w:rsidTr="1907B32B">
        <w:trPr>
          <w:trHeight w:hRule="exact" w:val="2552"/>
        </w:trPr>
        <w:tc>
          <w:tcPr>
            <w:tcW w:w="4531" w:type="dxa"/>
            <w:shd w:val="clear" w:color="auto" w:fill="auto"/>
            <w:noWrap/>
            <w:vAlign w:val="bottom"/>
          </w:tcPr>
          <w:p w14:paraId="2A9F3CBD" w14:textId="064BB350"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4EAEE78C" w14:textId="77777777" w:rsidR="00037AF1" w:rsidRDefault="00037AF1" w:rsidP="00037AF1">
            <w:r>
              <w:t xml:space="preserve">In diesem Abschnitt vermitteln Sie grundlegende Hinweise zur richtigen und gefahrlosen Brandbekämpfung. </w:t>
            </w:r>
          </w:p>
          <w:p w14:paraId="26F5BC8E" w14:textId="77777777" w:rsidR="00037AF1" w:rsidRDefault="00037AF1" w:rsidP="00037AF1"/>
          <w:p w14:paraId="39E9EA43" w14:textId="3C4F4D22" w:rsidR="00037AF1" w:rsidRPr="00EE2E94" w:rsidRDefault="00037AF1" w:rsidP="00037AF1">
            <w:r>
              <w:t>Weisen Sie unbedingt darauf hin, dass der Schutz der eigenen Person immer Vorrang hat.</w:t>
            </w:r>
          </w:p>
        </w:tc>
      </w:tr>
      <w:tr w:rsidR="00037AF1" w:rsidRPr="00407A74" w14:paraId="501BC86D" w14:textId="77777777" w:rsidTr="1907B32B">
        <w:trPr>
          <w:trHeight w:hRule="exact" w:val="2552"/>
        </w:trPr>
        <w:tc>
          <w:tcPr>
            <w:tcW w:w="4531" w:type="dxa"/>
            <w:shd w:val="clear" w:color="auto" w:fill="auto"/>
            <w:noWrap/>
            <w:vAlign w:val="bottom"/>
          </w:tcPr>
          <w:p w14:paraId="369BE481" w14:textId="212AA8A1"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159A00C2" w14:textId="36588B5F" w:rsidR="00037AF1" w:rsidRDefault="00037AF1" w:rsidP="00037AF1">
            <w:r>
              <w:t>Nicht jeder Feuerlöscher ist für jede Brandklasse geeignet. Dies ist vor allem dann wichtig, wenn Sie im Betrieb unterschiedliche Arten von Feuerlöschern vorhalten. Erläutern Sie den Teilnehmenden, welche Löscher für welche Anwendungsfälle geeignet sind.</w:t>
            </w:r>
          </w:p>
        </w:tc>
      </w:tr>
      <w:tr w:rsidR="00037AF1" w:rsidRPr="00407A74" w14:paraId="417807CF" w14:textId="77777777" w:rsidTr="1907B32B">
        <w:trPr>
          <w:trHeight w:hRule="exact" w:val="2552"/>
        </w:trPr>
        <w:tc>
          <w:tcPr>
            <w:tcW w:w="4531" w:type="dxa"/>
            <w:shd w:val="clear" w:color="auto" w:fill="auto"/>
            <w:noWrap/>
            <w:vAlign w:val="bottom"/>
          </w:tcPr>
          <w:p w14:paraId="1E51100F" w14:textId="7C93F48A"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61633809" w14:textId="77777777" w:rsidR="00037AF1" w:rsidRPr="00460F91" w:rsidRDefault="00037AF1" w:rsidP="00037AF1">
            <w:r w:rsidRPr="00460F91">
              <w:t>Machen Sie die Unterweisung greifbarer, indem Sie einen Feuerlöscher mitbringen.</w:t>
            </w:r>
          </w:p>
          <w:p w14:paraId="3669A004" w14:textId="77777777" w:rsidR="00037AF1" w:rsidRPr="00460F91" w:rsidRDefault="00037AF1" w:rsidP="00037AF1">
            <w:r w:rsidRPr="00460F91">
              <w:t>Fragen Sie die Teilnehmenden, was man tun muss, um den Feuerlöscher auszulösen.</w:t>
            </w:r>
          </w:p>
          <w:p w14:paraId="26E1DA14" w14:textId="0D2C7EC4" w:rsidR="00037AF1" w:rsidRDefault="00037AF1" w:rsidP="00037AF1">
            <w:r w:rsidRPr="00460F91">
              <w:t>Lassen Sie die Teilnehmenden ablesen, wofür dieser eingesetzt werden kann.</w:t>
            </w:r>
          </w:p>
        </w:tc>
      </w:tr>
      <w:tr w:rsidR="00037AF1" w:rsidRPr="00407A74" w14:paraId="3C0FEFD9" w14:textId="77777777" w:rsidTr="1907B32B">
        <w:trPr>
          <w:trHeight w:hRule="exact" w:val="2552"/>
        </w:trPr>
        <w:tc>
          <w:tcPr>
            <w:tcW w:w="4531" w:type="dxa"/>
            <w:shd w:val="clear" w:color="auto" w:fill="auto"/>
            <w:noWrap/>
            <w:vAlign w:val="bottom"/>
          </w:tcPr>
          <w:p w14:paraId="45FCE127" w14:textId="531939FC"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45995F07" w14:textId="77777777" w:rsidR="00037AF1" w:rsidRDefault="00037AF1" w:rsidP="00037AF1">
            <w:r>
              <w:t xml:space="preserve">Viele Mitarbeitenden unterschätzen die zur Verfügung stehende Löschmenge. </w:t>
            </w:r>
          </w:p>
          <w:p w14:paraId="27DF7AB1" w14:textId="77777777" w:rsidR="00037AF1" w:rsidRDefault="00037AF1" w:rsidP="00037AF1"/>
          <w:p w14:paraId="4372A866" w14:textId="69A24A19" w:rsidR="00037AF1" w:rsidRDefault="22EECFAC" w:rsidP="00037AF1">
            <w:r>
              <w:t>Lassen Sie Teilnehmenden zur Auflockerung schätzen, wie lange sie mit dem Inhalt eines Feuerlöschers wohl löschen können</w:t>
            </w:r>
            <w:r w:rsidR="338F0ADA">
              <w:t>,</w:t>
            </w:r>
            <w:r>
              <w:t xml:space="preserve"> und blättern Sie erst dann zur Auflösung über.</w:t>
            </w:r>
          </w:p>
          <w:p w14:paraId="0CDE961C" w14:textId="77777777" w:rsidR="00037AF1" w:rsidRDefault="00037AF1" w:rsidP="00037AF1"/>
          <w:p w14:paraId="5A59E454" w14:textId="77777777" w:rsidR="00037AF1" w:rsidRDefault="00037AF1" w:rsidP="00037AF1"/>
          <w:p w14:paraId="11566FE9" w14:textId="34D494B6" w:rsidR="00037AF1" w:rsidRPr="00037AF1" w:rsidRDefault="00037AF1" w:rsidP="00037AF1">
            <w:pPr>
              <w:jc w:val="center"/>
            </w:pPr>
          </w:p>
        </w:tc>
      </w:tr>
      <w:tr w:rsidR="00037AF1" w:rsidRPr="00407A74" w14:paraId="207B613E" w14:textId="77777777" w:rsidTr="1907B32B">
        <w:trPr>
          <w:trHeight w:hRule="exact" w:val="2552"/>
        </w:trPr>
        <w:tc>
          <w:tcPr>
            <w:tcW w:w="4531" w:type="dxa"/>
            <w:shd w:val="clear" w:color="auto" w:fill="auto"/>
            <w:noWrap/>
            <w:vAlign w:val="bottom"/>
          </w:tcPr>
          <w:p w14:paraId="6F58D5C2" w14:textId="09D24919"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3E0D54CF" w14:textId="4BA859E6" w:rsidR="00037AF1" w:rsidRDefault="00037AF1" w:rsidP="00037AF1">
            <w:r>
              <w:t>Auch diese Regeln können Sie im Gespräch mit den Teilnehmenden erarbeiten, bevor Sie diese Folie als Lösung verwenden.</w:t>
            </w:r>
          </w:p>
        </w:tc>
      </w:tr>
      <w:tr w:rsidR="00037AF1" w:rsidRPr="00407A74" w14:paraId="1D87B783" w14:textId="77777777" w:rsidTr="1907B32B">
        <w:trPr>
          <w:trHeight w:hRule="exact" w:val="3158"/>
        </w:trPr>
        <w:tc>
          <w:tcPr>
            <w:tcW w:w="4531" w:type="dxa"/>
            <w:shd w:val="clear" w:color="auto" w:fill="auto"/>
            <w:noWrap/>
            <w:vAlign w:val="center"/>
          </w:tcPr>
          <w:p w14:paraId="280C75EE" w14:textId="634B01AC" w:rsidR="00037AF1" w:rsidRDefault="00037AF1" w:rsidP="00586554">
            <w:pPr>
              <w:pStyle w:val="Standardb"/>
              <w:framePr w:hSpace="0" w:wrap="auto" w:vAnchor="margin" w:hAnchor="text" w:yAlign="inline"/>
              <w:rPr>
                <w:noProof/>
              </w:rPr>
            </w:pPr>
          </w:p>
        </w:tc>
        <w:tc>
          <w:tcPr>
            <w:tcW w:w="5604" w:type="dxa"/>
            <w:shd w:val="clear" w:color="auto" w:fill="FFFFFF" w:themeFill="background1"/>
            <w:noWrap/>
          </w:tcPr>
          <w:p w14:paraId="7D29E9EA" w14:textId="77777777" w:rsidR="00037AF1" w:rsidRPr="00460F91" w:rsidRDefault="00037AF1" w:rsidP="00037AF1">
            <w:r w:rsidRPr="00460F91">
              <w:t>Vielen Mitarbeitenden ist unbekannt, dass Löschdecken kein geeignetes Löschmittel sind. Gehen Sie deshalb auf die Nachteile ein:</w:t>
            </w:r>
          </w:p>
          <w:p w14:paraId="4BFFBCBA" w14:textId="77777777" w:rsidR="00037AF1" w:rsidRPr="00460F91" w:rsidRDefault="00037AF1" w:rsidP="00037AF1"/>
          <w:p w14:paraId="4D2E21FB" w14:textId="77777777" w:rsidR="00037AF1" w:rsidRPr="00460F91" w:rsidRDefault="00037AF1" w:rsidP="00037AF1">
            <w:r w:rsidRPr="00460F91">
              <w:t xml:space="preserve">Brennende Personen sind mit Löschdecken schwer zu löschen, da sie in Panik geraten, weglaufen und sich gegen die Löschdecke wehren, aus Angst, darunter zu verbrennen. Dadurch ist es fast unmöglich, einen luftdichten Abschluss zu erreichen und das Feuer zu ersticken. Nur wenn kein Feuerlöscher zur Hand ist: </w:t>
            </w:r>
          </w:p>
          <w:p w14:paraId="2CF81C30" w14:textId="368CF9B2" w:rsidR="00037AF1" w:rsidRPr="00460F91" w:rsidRDefault="22EECFAC" w:rsidP="00037AF1">
            <w:r>
              <w:t>Löschdecken, Mäntel o.</w:t>
            </w:r>
            <w:r w:rsidR="54C0CA63">
              <w:t xml:space="preserve"> Ä</w:t>
            </w:r>
            <w:r>
              <w:t>. überwerfen und Person darin einwickeln (notfalls das Feuer durch Rollen der Person ersticken).</w:t>
            </w:r>
          </w:p>
          <w:p w14:paraId="455E3780" w14:textId="77777777" w:rsidR="00037AF1" w:rsidRPr="00460F91" w:rsidRDefault="00037AF1" w:rsidP="00037AF1"/>
          <w:p w14:paraId="4A841014" w14:textId="77777777" w:rsidR="00037AF1" w:rsidRPr="00460F91" w:rsidRDefault="00037AF1" w:rsidP="00037AF1">
            <w:r w:rsidRPr="00460F91">
              <w:t>Außerdem besteht bei der Verwendung von Löschdecken eine erhöhte Gefährdung durch die Retter, ebenfalls in Brand zu geraten.</w:t>
            </w:r>
          </w:p>
          <w:p w14:paraId="0114FF03" w14:textId="77777777" w:rsidR="00037AF1" w:rsidRDefault="00037AF1" w:rsidP="00037AF1"/>
        </w:tc>
      </w:tr>
      <w:tr w:rsidR="00037AF1" w:rsidRPr="00407A74" w14:paraId="06C65BDD" w14:textId="77777777" w:rsidTr="1907B32B">
        <w:trPr>
          <w:trHeight w:hRule="exact" w:val="3885"/>
        </w:trPr>
        <w:tc>
          <w:tcPr>
            <w:tcW w:w="4531" w:type="dxa"/>
            <w:shd w:val="clear" w:color="auto" w:fill="auto"/>
            <w:noWrap/>
          </w:tcPr>
          <w:p w14:paraId="54B22EC0" w14:textId="4F8C0929" w:rsidR="00037AF1" w:rsidRDefault="00037AF1" w:rsidP="00903B76">
            <w:pPr>
              <w:pStyle w:val="Standardb"/>
              <w:framePr w:hSpace="0" w:wrap="auto" w:vAnchor="margin" w:hAnchor="text" w:yAlign="inline"/>
              <w:rPr>
                <w:noProof/>
              </w:rPr>
            </w:pPr>
          </w:p>
        </w:tc>
        <w:tc>
          <w:tcPr>
            <w:tcW w:w="5604" w:type="dxa"/>
            <w:shd w:val="clear" w:color="auto" w:fill="FFFFFF" w:themeFill="background1"/>
            <w:noWrap/>
          </w:tcPr>
          <w:p w14:paraId="44A917F6" w14:textId="77777777" w:rsidR="00037AF1" w:rsidRPr="00460F91" w:rsidRDefault="00037AF1" w:rsidP="00037AF1">
            <w:r w:rsidRPr="00460F91">
              <w:t xml:space="preserve">Pro kg Löschmittel ist eine Grundfläche von mindestens 5,5 m² erforderlich. Handelsübliche Feuerlöscher haben eine Füllmenge von 6 kg. Räume von mehr als 6 x 5,5 kg, also 33 m² können damit gefahrlos gelöscht werden. </w:t>
            </w:r>
          </w:p>
          <w:p w14:paraId="26090372" w14:textId="77777777" w:rsidR="00037AF1" w:rsidRPr="00460F91" w:rsidRDefault="00037AF1" w:rsidP="00037AF1"/>
          <w:p w14:paraId="42D60667" w14:textId="77777777" w:rsidR="00037AF1" w:rsidRPr="00460F91" w:rsidRDefault="00037AF1" w:rsidP="00037AF1">
            <w:r w:rsidRPr="00460F91">
              <w:t>Bei kleineren Räumen herrscht Lebensgefahr!</w:t>
            </w:r>
          </w:p>
          <w:p w14:paraId="27C07D07" w14:textId="77777777" w:rsidR="00037AF1" w:rsidRPr="00460F91" w:rsidRDefault="00037AF1" w:rsidP="00037AF1"/>
          <w:p w14:paraId="1E8946B1" w14:textId="0CF432DB" w:rsidR="00037AF1" w:rsidRPr="00460F91" w:rsidRDefault="22EECFAC" w:rsidP="00037AF1">
            <w:r>
              <w:t>Gehen Sie hier auf die konkrete Situation im Betrieb ein</w:t>
            </w:r>
            <w:r w:rsidR="2A03762F">
              <w:t>:</w:t>
            </w:r>
            <w:r>
              <w:t xml:space="preserve"> Welche Räume dürfen nur von außen gelöscht werden?</w:t>
            </w:r>
          </w:p>
          <w:p w14:paraId="1369C347" w14:textId="77777777" w:rsidR="00037AF1" w:rsidRPr="00460F91" w:rsidRDefault="00037AF1" w:rsidP="00037AF1"/>
          <w:p w14:paraId="52B8634D" w14:textId="435DBE44" w:rsidR="00037AF1" w:rsidRDefault="22EECFAC" w:rsidP="00037AF1">
            <w:r>
              <w:t xml:space="preserve">Warnen Sie die Teilnehmenden ggf. auch vor den niedrigen Temperaturen an der Düse. Hier können </w:t>
            </w:r>
            <w:r w:rsidR="159EE36E">
              <w:t xml:space="preserve">die </w:t>
            </w:r>
            <w:r>
              <w:t>Teilnehmenden Erfrierungen erleiden, wenn sie mit den Fingern zu nah an die Düse kommen.</w:t>
            </w:r>
          </w:p>
        </w:tc>
      </w:tr>
      <w:tr w:rsidR="00037AF1" w:rsidRPr="00407A74" w14:paraId="42C4766D" w14:textId="77777777" w:rsidTr="1907B32B">
        <w:trPr>
          <w:trHeight w:hRule="exact" w:val="2474"/>
        </w:trPr>
        <w:tc>
          <w:tcPr>
            <w:tcW w:w="4531" w:type="dxa"/>
            <w:shd w:val="clear" w:color="auto" w:fill="auto"/>
            <w:noWrap/>
            <w:vAlign w:val="bottom"/>
          </w:tcPr>
          <w:p w14:paraId="15688D4E" w14:textId="4A485664"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6701952B" w14:textId="5E87DBEF" w:rsidR="00037AF1" w:rsidRPr="00460F91" w:rsidRDefault="22EECFAC" w:rsidP="00037AF1">
            <w:r>
              <w:t>Ein Brand kann die Stabilität eines Gebäudes erheblich beeinflussen. Außerdem kann es sein, dass noch Spuren gesichert werden sollen. Das Betreten ist durch die Mitarbeite</w:t>
            </w:r>
            <w:r w:rsidR="24E7583E">
              <w:t>nden</w:t>
            </w:r>
            <w:r>
              <w:t xml:space="preserve"> daher erst wieder erlaubt, wenn nach Abstimmung mit der Feuerwehr eine offizielle Freigabe durch die Geschäftsführung / Führungskräfte erfolgt ist.</w:t>
            </w:r>
          </w:p>
        </w:tc>
      </w:tr>
      <w:tr w:rsidR="00037AF1" w:rsidRPr="00407A74" w14:paraId="3BD2841B" w14:textId="77777777" w:rsidTr="1907B32B">
        <w:trPr>
          <w:trHeight w:hRule="exact" w:val="2474"/>
        </w:trPr>
        <w:tc>
          <w:tcPr>
            <w:tcW w:w="4531" w:type="dxa"/>
            <w:shd w:val="clear" w:color="auto" w:fill="auto"/>
            <w:noWrap/>
            <w:vAlign w:val="bottom"/>
          </w:tcPr>
          <w:p w14:paraId="4D9D097D" w14:textId="542714C4" w:rsidR="00037AF1" w:rsidRDefault="00037AF1" w:rsidP="00037AF1">
            <w:pPr>
              <w:pStyle w:val="Standardb"/>
              <w:framePr w:hSpace="0" w:wrap="auto" w:vAnchor="margin" w:hAnchor="text" w:yAlign="inline"/>
              <w:rPr>
                <w:noProof/>
              </w:rPr>
            </w:pPr>
          </w:p>
        </w:tc>
        <w:tc>
          <w:tcPr>
            <w:tcW w:w="5604" w:type="dxa"/>
            <w:shd w:val="clear" w:color="auto" w:fill="FFFFFF" w:themeFill="background1"/>
            <w:noWrap/>
          </w:tcPr>
          <w:p w14:paraId="2059EE3A" w14:textId="77777777" w:rsidR="00037AF1" w:rsidRDefault="00037AF1" w:rsidP="00037AF1">
            <w:r>
              <w:t>Fassen Sie die Unterweisung gerne mit einer persönlichen Abschlussbotschaft an die Teilnehmenden zusammen.</w:t>
            </w:r>
          </w:p>
          <w:p w14:paraId="3514DB5F" w14:textId="77777777" w:rsidR="00037AF1" w:rsidRDefault="00037AF1" w:rsidP="00037AF1"/>
          <w:p w14:paraId="1C81D4EF" w14:textId="7C309D1B" w:rsidR="00037AF1" w:rsidRDefault="00037AF1" w:rsidP="00037AF1">
            <w:r>
              <w:t>Geben Sie die Möglichkeit, offene Fragen zu stellen.</w:t>
            </w:r>
          </w:p>
        </w:tc>
      </w:tr>
    </w:tbl>
    <w:p w14:paraId="4DCD262F" w14:textId="77777777" w:rsidR="00F87E02" w:rsidRPr="00AC42D3" w:rsidRDefault="00F87E02" w:rsidP="00AC42D3"/>
    <w:sectPr w:rsidR="00F87E02" w:rsidRPr="00AC42D3" w:rsidSect="008B3263">
      <w:headerReference w:type="even" r:id="rId9"/>
      <w:headerReference w:type="default" r:id="rId10"/>
      <w:footerReference w:type="even" r:id="rId11"/>
      <w:footerReference w:type="default" r:id="rId12"/>
      <w:headerReference w:type="first" r:id="rId13"/>
      <w:footerReference w:type="first" r:id="rId14"/>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97FD" w14:textId="77777777" w:rsidR="00332AFF" w:rsidRDefault="00332AFF" w:rsidP="005D6E67">
      <w:pPr>
        <w:spacing w:before="0" w:line="240" w:lineRule="auto"/>
      </w:pPr>
      <w:r>
        <w:separator/>
      </w:r>
    </w:p>
    <w:p w14:paraId="0771AFB0" w14:textId="77777777" w:rsidR="00332AFF" w:rsidRDefault="00332AFF"/>
  </w:endnote>
  <w:endnote w:type="continuationSeparator" w:id="0">
    <w:p w14:paraId="1BA76CEB" w14:textId="77777777" w:rsidR="00332AFF" w:rsidRDefault="00332AFF" w:rsidP="005D6E67">
      <w:pPr>
        <w:spacing w:before="0" w:line="240" w:lineRule="auto"/>
      </w:pPr>
      <w:r>
        <w:continuationSeparator/>
      </w:r>
    </w:p>
    <w:p w14:paraId="010A232E" w14:textId="77777777" w:rsidR="00332AFF" w:rsidRDefault="00332AFF"/>
  </w:endnote>
  <w:endnote w:type="continuationNotice" w:id="1">
    <w:p w14:paraId="42E7FD9D" w14:textId="77777777" w:rsidR="00332AFF" w:rsidRDefault="00332AF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BBC4" w14:textId="30AA8BC1" w:rsidR="003657BF" w:rsidRDefault="003657BF" w:rsidP="00C6278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3657BF">
    <w:pPr>
      <w:pStyle w:val="Fuzeile"/>
      <w:ind w:right="360"/>
    </w:pPr>
    <w:r>
      <w:rPr>
        <w:noProof/>
      </w:rPr>
      <mc:AlternateContent>
        <mc:Choice Requires="wps">
          <w:drawing>
            <wp:anchor distT="0" distB="0" distL="114300" distR="114300" simplePos="0" relativeHeight="25165824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556A4E04">
            <v:shapetype id="_x0000_t7" coordsize="21600,21600" o:spt="7" adj="5400" path="m@0,l,21600@1,21600,21600,xe" w14:anchorId="70211415">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"/>
          </w:pict>
        </mc:Fallback>
      </mc:AlternateContent>
    </w:r>
    <w:r>
      <w:rPr>
        <w:noProof/>
      </w:rPr>
      <mc:AlternateContent>
        <mc:Choice Requires="wps">
          <w:drawing>
            <wp:anchor distT="0" distB="0" distL="114300" distR="114300" simplePos="0" relativeHeight="251658243" behindDoc="1" locked="0" layoutInCell="1" allowOverlap="1" wp14:anchorId="381948E4" wp14:editId="4E631823">
              <wp:simplePos x="0" y="0"/>
              <wp:positionH relativeFrom="column">
                <wp:posOffset>-1578157</wp:posOffset>
              </wp:positionH>
              <wp:positionV relativeFrom="paragraph">
                <wp:posOffset>126365</wp:posOffset>
              </wp:positionV>
              <wp:extent cx="7643586" cy="489131"/>
              <wp:effectExtent l="12700" t="0" r="27305" b="19050"/>
              <wp:wrapNone/>
              <wp:docPr id="8" name="Parallelogra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8" o:spid="_x0000_s1028" type="#_x0000_t7" style="position:absolute;margin-left:-124.25pt;margin-top:9.95pt;width:601.85pt;height:38.5pt;flip:x;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FB62" w14:textId="77777777" w:rsidR="00A536D2" w:rsidRDefault="00A536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67D0A" w14:textId="77777777" w:rsidR="00332AFF" w:rsidRDefault="00332AFF" w:rsidP="005D6E67">
      <w:pPr>
        <w:spacing w:before="0" w:line="240" w:lineRule="auto"/>
      </w:pPr>
      <w:r>
        <w:separator/>
      </w:r>
    </w:p>
    <w:p w14:paraId="4457AD0B" w14:textId="77777777" w:rsidR="00332AFF" w:rsidRDefault="00332AFF"/>
  </w:footnote>
  <w:footnote w:type="continuationSeparator" w:id="0">
    <w:p w14:paraId="0BEC4627" w14:textId="77777777" w:rsidR="00332AFF" w:rsidRDefault="00332AFF" w:rsidP="005D6E67">
      <w:pPr>
        <w:spacing w:before="0" w:line="240" w:lineRule="auto"/>
      </w:pPr>
      <w:r>
        <w:continuationSeparator/>
      </w:r>
    </w:p>
    <w:p w14:paraId="024BF60D" w14:textId="77777777" w:rsidR="00332AFF" w:rsidRDefault="00332AFF"/>
  </w:footnote>
  <w:footnote w:type="continuationNotice" w:id="1">
    <w:p w14:paraId="08B185AE" w14:textId="77777777" w:rsidR="00332AFF" w:rsidRDefault="00332AF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935C" w14:textId="77777777" w:rsidR="00A536D2" w:rsidRDefault="00A536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5902" w14:textId="2A501CBF" w:rsidR="005D6E67" w:rsidRDefault="00AC780C">
    <w:pPr>
      <w:pStyle w:val="Kopfzeile"/>
    </w:pPr>
    <w:r>
      <w:rPr>
        <w:noProof/>
      </w:rPr>
      <w:drawing>
        <wp:anchor distT="0" distB="0" distL="114300" distR="114300" simplePos="0" relativeHeight="251660293" behindDoc="1" locked="1" layoutInCell="1" allowOverlap="0" wp14:anchorId="5E6B9125" wp14:editId="048634E6">
          <wp:simplePos x="0" y="0"/>
          <wp:positionH relativeFrom="column">
            <wp:posOffset>4354195</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r w:rsidR="00ED195C">
      <w:rPr>
        <w:noProof/>
      </w:rPr>
      <mc:AlternateContent>
        <mc:Choice Requires="wps">
          <w:drawing>
            <wp:anchor distT="45720" distB="45720" distL="114300" distR="114300" simplePos="0" relativeHeight="251658245" behindDoc="1" locked="0" layoutInCell="1" allowOverlap="1" wp14:anchorId="6B71C968" wp14:editId="5F70B59C">
              <wp:simplePos x="0" y="0"/>
              <wp:positionH relativeFrom="column">
                <wp:posOffset>-158655</wp:posOffset>
              </wp:positionH>
              <wp:positionV relativeFrom="paragraph">
                <wp:posOffset>31750</wp:posOffset>
              </wp:positionV>
              <wp:extent cx="4130040" cy="140462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1404620"/>
                      </a:xfrm>
                      <a:prstGeom prst="rect">
                        <a:avLst/>
                      </a:prstGeom>
                      <a:noFill/>
                      <a:ln w="9525">
                        <a:noFill/>
                        <a:miter lim="800000"/>
                        <a:headEnd/>
                        <a:tailEnd/>
                      </a:ln>
                    </wps:spPr>
                    <wps:txbx>
                      <w:txbxContent>
                        <w:p w14:paraId="29A9DBE9" w14:textId="5953B080" w:rsidR="00ED195C" w:rsidRPr="00ED195C" w:rsidRDefault="00F957F4" w:rsidP="00ED195C">
                          <w:pPr>
                            <w:rPr>
                              <w:rFonts w:ascii="Gill Sans MT" w:hAnsi="Gill Sans MT"/>
                              <w:color w:val="7F7F7F"/>
                              <w:sz w:val="32"/>
                              <w:szCs w:val="32"/>
                            </w:rPr>
                          </w:pPr>
                          <w:r>
                            <w:rPr>
                              <w:rFonts w:ascii="Gill Sans MT" w:hAnsi="Gill Sans MT"/>
                              <w:color w:val="7F7F7F"/>
                              <w:sz w:val="32"/>
                              <w:szCs w:val="32"/>
                            </w:rPr>
                            <w:t>Betrieblicher Brandschutz: Gewerbe</w:t>
                          </w:r>
                        </w:p>
                        <w:p w14:paraId="7466465E" w14:textId="0E136CE5"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71C968" id="_x0000_t202" coordsize="21600,21600" o:spt="202" path="m,l,21600r21600,l21600,xe">
              <v:stroke joinstyle="miter"/>
              <v:path gradientshapeok="t" o:connecttype="rect"/>
            </v:shapetype>
            <v:shape id="Text Box 217" o:spid="_x0000_s1026" type="#_x0000_t202" style="position:absolute;margin-left:-12.5pt;margin-top:2.5pt;width:325.2pt;height:110.6pt;z-index:-25165823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" filled="f" stroked="f">
              <v:textbox style="mso-fit-shape-to-text:t" inset="0,0,0,0">
                <w:txbxContent>
                  <w:p w14:paraId="29A9DBE9" w14:textId="5953B080" w:rsidR="00ED195C" w:rsidRPr="00ED195C" w:rsidRDefault="00F957F4" w:rsidP="00ED195C">
                    <w:pPr>
                      <w:rPr>
                        <w:rFonts w:ascii="Gill Sans MT" w:hAnsi="Gill Sans MT"/>
                        <w:color w:val="7F7F7F"/>
                        <w:sz w:val="32"/>
                        <w:szCs w:val="32"/>
                      </w:rPr>
                    </w:pPr>
                    <w:r>
                      <w:rPr>
                        <w:rFonts w:ascii="Gill Sans MT" w:hAnsi="Gill Sans MT"/>
                        <w:color w:val="7F7F7F"/>
                        <w:sz w:val="32"/>
                        <w:szCs w:val="32"/>
                      </w:rPr>
                      <w:t>Betrieblicher Brandschutz: Gewerbe</w:t>
                    </w:r>
                  </w:p>
                  <w:p w14:paraId="7466465E" w14:textId="0E136CE5"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8240"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Rectangle 3">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Rectangle 3" o:spid="_x0000_s1027" style="position:absolute;margin-left:-26.75pt;margin-top:26.05pt;width:536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3"/>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58241"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22ED" w14:textId="77777777" w:rsidR="00A536D2" w:rsidRDefault="00A536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427"/>
    <w:multiLevelType w:val="hybridMultilevel"/>
    <w:tmpl w:val="3502D8A6"/>
    <w:lvl w:ilvl="0" w:tplc="7C900D76">
      <w:start w:val="1"/>
      <w:numFmt w:val="bullet"/>
      <w:pStyle w:val="Standard"/>
      <w:lvlText w:val=""/>
      <w:lvlJc w:val="left"/>
      <w:pPr>
        <w:ind w:left="170" w:hanging="17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EE0868"/>
    <w:multiLevelType w:val="hybridMultilevel"/>
    <w:tmpl w:val="8ADCADA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EC6ACB"/>
    <w:multiLevelType w:val="hybridMultilevel"/>
    <w:tmpl w:val="684A36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BAA5A76"/>
    <w:multiLevelType w:val="hybridMultilevel"/>
    <w:tmpl w:val="38661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8"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9" w15:restartNumberingAfterBreak="0">
    <w:nsid w:val="41D541EC"/>
    <w:multiLevelType w:val="multilevel"/>
    <w:tmpl w:val="E8EC4016"/>
    <w:lvl w:ilvl="0">
      <w:start w:val="1"/>
      <w:numFmt w:val="bullet"/>
      <w:lvlText w:val=""/>
      <w:lvlJc w:val="left"/>
      <w:pPr>
        <w:ind w:left="284" w:hanging="284"/>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B968EE"/>
    <w:multiLevelType w:val="hybridMultilevel"/>
    <w:tmpl w:val="DEE240C2"/>
    <w:lvl w:ilvl="0" w:tplc="4F3C1834">
      <w:numFmt w:val="bullet"/>
      <w:lvlText w:val="•"/>
      <w:lvlJc w:val="left"/>
      <w:pPr>
        <w:ind w:left="1070" w:hanging="71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53B84A"/>
    <w:multiLevelType w:val="hybridMultilevel"/>
    <w:tmpl w:val="B172E778"/>
    <w:lvl w:ilvl="0" w:tplc="70E46242">
      <w:start w:val="1"/>
      <w:numFmt w:val="bullet"/>
      <w:lvlText w:val="§"/>
      <w:lvlJc w:val="left"/>
      <w:pPr>
        <w:ind w:left="720" w:hanging="360"/>
      </w:pPr>
      <w:rPr>
        <w:rFonts w:ascii="Wingdings" w:hAnsi="Wingdings" w:hint="default"/>
      </w:rPr>
    </w:lvl>
    <w:lvl w:ilvl="1" w:tplc="E2A09372">
      <w:start w:val="1"/>
      <w:numFmt w:val="bullet"/>
      <w:lvlText w:val="o"/>
      <w:lvlJc w:val="left"/>
      <w:pPr>
        <w:ind w:left="1440" w:hanging="360"/>
      </w:pPr>
      <w:rPr>
        <w:rFonts w:ascii="Courier New" w:hAnsi="Courier New" w:hint="default"/>
      </w:rPr>
    </w:lvl>
    <w:lvl w:ilvl="2" w:tplc="07B87408">
      <w:start w:val="1"/>
      <w:numFmt w:val="bullet"/>
      <w:lvlText w:val=""/>
      <w:lvlJc w:val="left"/>
      <w:pPr>
        <w:ind w:left="2160" w:hanging="360"/>
      </w:pPr>
      <w:rPr>
        <w:rFonts w:ascii="Wingdings" w:hAnsi="Wingdings" w:hint="default"/>
      </w:rPr>
    </w:lvl>
    <w:lvl w:ilvl="3" w:tplc="FB2C6468">
      <w:start w:val="1"/>
      <w:numFmt w:val="bullet"/>
      <w:lvlText w:val=""/>
      <w:lvlJc w:val="left"/>
      <w:pPr>
        <w:ind w:left="2880" w:hanging="360"/>
      </w:pPr>
      <w:rPr>
        <w:rFonts w:ascii="Symbol" w:hAnsi="Symbol" w:hint="default"/>
      </w:rPr>
    </w:lvl>
    <w:lvl w:ilvl="4" w:tplc="6ECACBA4">
      <w:start w:val="1"/>
      <w:numFmt w:val="bullet"/>
      <w:lvlText w:val="o"/>
      <w:lvlJc w:val="left"/>
      <w:pPr>
        <w:ind w:left="3600" w:hanging="360"/>
      </w:pPr>
      <w:rPr>
        <w:rFonts w:ascii="Courier New" w:hAnsi="Courier New" w:hint="default"/>
      </w:rPr>
    </w:lvl>
    <w:lvl w:ilvl="5" w:tplc="FE349C00">
      <w:start w:val="1"/>
      <w:numFmt w:val="bullet"/>
      <w:lvlText w:val=""/>
      <w:lvlJc w:val="left"/>
      <w:pPr>
        <w:ind w:left="4320" w:hanging="360"/>
      </w:pPr>
      <w:rPr>
        <w:rFonts w:ascii="Wingdings" w:hAnsi="Wingdings" w:hint="default"/>
      </w:rPr>
    </w:lvl>
    <w:lvl w:ilvl="6" w:tplc="1FB49C74">
      <w:start w:val="1"/>
      <w:numFmt w:val="bullet"/>
      <w:lvlText w:val=""/>
      <w:lvlJc w:val="left"/>
      <w:pPr>
        <w:ind w:left="5040" w:hanging="360"/>
      </w:pPr>
      <w:rPr>
        <w:rFonts w:ascii="Symbol" w:hAnsi="Symbol" w:hint="default"/>
      </w:rPr>
    </w:lvl>
    <w:lvl w:ilvl="7" w:tplc="9FFAB162">
      <w:start w:val="1"/>
      <w:numFmt w:val="bullet"/>
      <w:lvlText w:val="o"/>
      <w:lvlJc w:val="left"/>
      <w:pPr>
        <w:ind w:left="5760" w:hanging="360"/>
      </w:pPr>
      <w:rPr>
        <w:rFonts w:ascii="Courier New" w:hAnsi="Courier New" w:hint="default"/>
      </w:rPr>
    </w:lvl>
    <w:lvl w:ilvl="8" w:tplc="92D8D50E">
      <w:start w:val="1"/>
      <w:numFmt w:val="bullet"/>
      <w:lvlText w:val=""/>
      <w:lvlJc w:val="left"/>
      <w:pPr>
        <w:ind w:left="6480" w:hanging="360"/>
      </w:pPr>
      <w:rPr>
        <w:rFonts w:ascii="Wingdings" w:hAnsi="Wingdings" w:hint="default"/>
      </w:rPr>
    </w:lvl>
  </w:abstractNum>
  <w:abstractNum w:abstractNumId="14"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15"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B6F0A0D"/>
    <w:multiLevelType w:val="hybridMultilevel"/>
    <w:tmpl w:val="85046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A121B0"/>
    <w:multiLevelType w:val="hybridMultilevel"/>
    <w:tmpl w:val="2DA8E6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1E02B1F"/>
    <w:multiLevelType w:val="hybridMultilevel"/>
    <w:tmpl w:val="24706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21"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23" w15:restartNumberingAfterBreak="0">
    <w:nsid w:val="6DC73C9A"/>
    <w:multiLevelType w:val="multilevel"/>
    <w:tmpl w:val="0407001F"/>
    <w:numStyleLink w:val="TABELLE"/>
  </w:abstractNum>
  <w:abstractNum w:abstractNumId="24" w15:restartNumberingAfterBreak="0">
    <w:nsid w:val="721A2ACD"/>
    <w:multiLevelType w:val="hybridMultilevel"/>
    <w:tmpl w:val="6B762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AEA3C68"/>
    <w:multiLevelType w:val="hybridMultilevel"/>
    <w:tmpl w:val="6520FC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DDF74FC"/>
    <w:multiLevelType w:val="hybridMultilevel"/>
    <w:tmpl w:val="7436AD64"/>
    <w:lvl w:ilvl="0" w:tplc="7CD69006">
      <w:start w:val="1"/>
      <w:numFmt w:val="bullet"/>
      <w:lvlText w:val="§"/>
      <w:lvlJc w:val="left"/>
      <w:pPr>
        <w:ind w:left="720" w:hanging="360"/>
      </w:pPr>
      <w:rPr>
        <w:rFonts w:ascii="Wingdings" w:hAnsi="Wingdings" w:hint="default"/>
      </w:rPr>
    </w:lvl>
    <w:lvl w:ilvl="1" w:tplc="A2D4086E">
      <w:start w:val="1"/>
      <w:numFmt w:val="bullet"/>
      <w:lvlText w:val="o"/>
      <w:lvlJc w:val="left"/>
      <w:pPr>
        <w:ind w:left="1440" w:hanging="360"/>
      </w:pPr>
      <w:rPr>
        <w:rFonts w:ascii="Courier New" w:hAnsi="Courier New" w:hint="default"/>
      </w:rPr>
    </w:lvl>
    <w:lvl w:ilvl="2" w:tplc="B1C8D172">
      <w:start w:val="1"/>
      <w:numFmt w:val="bullet"/>
      <w:lvlText w:val=""/>
      <w:lvlJc w:val="left"/>
      <w:pPr>
        <w:ind w:left="2160" w:hanging="360"/>
      </w:pPr>
      <w:rPr>
        <w:rFonts w:ascii="Wingdings" w:hAnsi="Wingdings" w:hint="default"/>
      </w:rPr>
    </w:lvl>
    <w:lvl w:ilvl="3" w:tplc="8A184BCE">
      <w:start w:val="1"/>
      <w:numFmt w:val="bullet"/>
      <w:lvlText w:val=""/>
      <w:lvlJc w:val="left"/>
      <w:pPr>
        <w:ind w:left="2880" w:hanging="360"/>
      </w:pPr>
      <w:rPr>
        <w:rFonts w:ascii="Symbol" w:hAnsi="Symbol" w:hint="default"/>
      </w:rPr>
    </w:lvl>
    <w:lvl w:ilvl="4" w:tplc="9E940C66">
      <w:start w:val="1"/>
      <w:numFmt w:val="bullet"/>
      <w:lvlText w:val="o"/>
      <w:lvlJc w:val="left"/>
      <w:pPr>
        <w:ind w:left="3600" w:hanging="360"/>
      </w:pPr>
      <w:rPr>
        <w:rFonts w:ascii="Courier New" w:hAnsi="Courier New" w:hint="default"/>
      </w:rPr>
    </w:lvl>
    <w:lvl w:ilvl="5" w:tplc="24902BEC">
      <w:start w:val="1"/>
      <w:numFmt w:val="bullet"/>
      <w:lvlText w:val=""/>
      <w:lvlJc w:val="left"/>
      <w:pPr>
        <w:ind w:left="4320" w:hanging="360"/>
      </w:pPr>
      <w:rPr>
        <w:rFonts w:ascii="Wingdings" w:hAnsi="Wingdings" w:hint="default"/>
      </w:rPr>
    </w:lvl>
    <w:lvl w:ilvl="6" w:tplc="8C60DE62">
      <w:start w:val="1"/>
      <w:numFmt w:val="bullet"/>
      <w:lvlText w:val=""/>
      <w:lvlJc w:val="left"/>
      <w:pPr>
        <w:ind w:left="5040" w:hanging="360"/>
      </w:pPr>
      <w:rPr>
        <w:rFonts w:ascii="Symbol" w:hAnsi="Symbol" w:hint="default"/>
      </w:rPr>
    </w:lvl>
    <w:lvl w:ilvl="7" w:tplc="E0CCAA38">
      <w:start w:val="1"/>
      <w:numFmt w:val="bullet"/>
      <w:lvlText w:val="o"/>
      <w:lvlJc w:val="left"/>
      <w:pPr>
        <w:ind w:left="5760" w:hanging="360"/>
      </w:pPr>
      <w:rPr>
        <w:rFonts w:ascii="Courier New" w:hAnsi="Courier New" w:hint="default"/>
      </w:rPr>
    </w:lvl>
    <w:lvl w:ilvl="8" w:tplc="C7A6E104">
      <w:start w:val="1"/>
      <w:numFmt w:val="bullet"/>
      <w:lvlText w:val=""/>
      <w:lvlJc w:val="left"/>
      <w:pPr>
        <w:ind w:left="6480" w:hanging="360"/>
      </w:pPr>
      <w:rPr>
        <w:rFonts w:ascii="Wingdings" w:hAnsi="Wingdings" w:hint="default"/>
      </w:rPr>
    </w:lvl>
  </w:abstractNum>
  <w:abstractNum w:abstractNumId="28" w15:restartNumberingAfterBreak="0">
    <w:nsid w:val="7E0E2A46"/>
    <w:multiLevelType w:val="hybridMultilevel"/>
    <w:tmpl w:val="EABCE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9652645">
    <w:abstractNumId w:val="27"/>
  </w:num>
  <w:num w:numId="2" w16cid:durableId="1271012737">
    <w:abstractNumId w:val="13"/>
  </w:num>
  <w:num w:numId="3" w16cid:durableId="1015113514">
    <w:abstractNumId w:val="3"/>
  </w:num>
  <w:num w:numId="4" w16cid:durableId="846362819">
    <w:abstractNumId w:val="0"/>
  </w:num>
  <w:num w:numId="5" w16cid:durableId="1654219495">
    <w:abstractNumId w:val="15"/>
  </w:num>
  <w:num w:numId="6" w16cid:durableId="890271262">
    <w:abstractNumId w:val="12"/>
  </w:num>
  <w:num w:numId="7" w16cid:durableId="213008674">
    <w:abstractNumId w:val="11"/>
  </w:num>
  <w:num w:numId="8" w16cid:durableId="1754203123">
    <w:abstractNumId w:val="21"/>
  </w:num>
  <w:num w:numId="9" w16cid:durableId="1033582279">
    <w:abstractNumId w:val="23"/>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51870175">
    <w:abstractNumId w:val="19"/>
  </w:num>
  <w:num w:numId="11" w16cid:durableId="1326666769">
    <w:abstractNumId w:val="14"/>
  </w:num>
  <w:num w:numId="12" w16cid:durableId="603072053">
    <w:abstractNumId w:val="25"/>
  </w:num>
  <w:num w:numId="13" w16cid:durableId="818308390">
    <w:abstractNumId w:val="1"/>
  </w:num>
  <w:num w:numId="14" w16cid:durableId="1684739954">
    <w:abstractNumId w:val="4"/>
  </w:num>
  <w:num w:numId="15" w16cid:durableId="2143840320">
    <w:abstractNumId w:val="22"/>
  </w:num>
  <w:num w:numId="16" w16cid:durableId="560141548">
    <w:abstractNumId w:val="14"/>
    <w:lvlOverride w:ilvl="0">
      <w:startOverride w:val="1"/>
    </w:lvlOverride>
  </w:num>
  <w:num w:numId="17" w16cid:durableId="1363554342">
    <w:abstractNumId w:val="20"/>
  </w:num>
  <w:num w:numId="18" w16cid:durableId="2055498393">
    <w:abstractNumId w:val="7"/>
  </w:num>
  <w:num w:numId="19" w16cid:durableId="1834639675">
    <w:abstractNumId w:val="8"/>
  </w:num>
  <w:num w:numId="20" w16cid:durableId="98187109">
    <w:abstractNumId w:val="14"/>
    <w:lvlOverride w:ilvl="0">
      <w:startOverride w:val="1"/>
    </w:lvlOverride>
  </w:num>
  <w:num w:numId="21" w16cid:durableId="819737058">
    <w:abstractNumId w:val="14"/>
    <w:lvlOverride w:ilvl="0">
      <w:startOverride w:val="1"/>
    </w:lvlOverride>
  </w:num>
  <w:num w:numId="22" w16cid:durableId="1604070462">
    <w:abstractNumId w:val="14"/>
    <w:lvlOverride w:ilvl="0">
      <w:startOverride w:val="1"/>
    </w:lvlOverride>
  </w:num>
  <w:num w:numId="23" w16cid:durableId="1217814386">
    <w:abstractNumId w:val="14"/>
    <w:lvlOverride w:ilvl="0">
      <w:startOverride w:val="1"/>
    </w:lvlOverride>
  </w:num>
  <w:num w:numId="24" w16cid:durableId="557521358">
    <w:abstractNumId w:val="14"/>
    <w:lvlOverride w:ilvl="0">
      <w:startOverride w:val="1"/>
    </w:lvlOverride>
  </w:num>
  <w:num w:numId="25" w16cid:durableId="1369646636">
    <w:abstractNumId w:val="14"/>
    <w:lvlOverride w:ilvl="0">
      <w:startOverride w:val="1"/>
    </w:lvlOverride>
  </w:num>
  <w:num w:numId="26" w16cid:durableId="754976165">
    <w:abstractNumId w:val="14"/>
    <w:lvlOverride w:ilvl="0">
      <w:startOverride w:val="1"/>
    </w:lvlOverride>
  </w:num>
  <w:num w:numId="27" w16cid:durableId="58215168">
    <w:abstractNumId w:val="14"/>
    <w:lvlOverride w:ilvl="0">
      <w:startOverride w:val="1"/>
    </w:lvlOverride>
  </w:num>
  <w:num w:numId="28" w16cid:durableId="1173566205">
    <w:abstractNumId w:val="14"/>
    <w:lvlOverride w:ilvl="0">
      <w:startOverride w:val="1"/>
    </w:lvlOverride>
  </w:num>
  <w:num w:numId="29" w16cid:durableId="838472737">
    <w:abstractNumId w:val="14"/>
    <w:lvlOverride w:ilvl="0">
      <w:startOverride w:val="1"/>
    </w:lvlOverride>
  </w:num>
  <w:num w:numId="30" w16cid:durableId="1915580336">
    <w:abstractNumId w:val="14"/>
    <w:lvlOverride w:ilvl="0">
      <w:startOverride w:val="1"/>
    </w:lvlOverride>
  </w:num>
  <w:num w:numId="31" w16cid:durableId="1508330508">
    <w:abstractNumId w:val="14"/>
    <w:lvlOverride w:ilvl="0">
      <w:startOverride w:val="1"/>
    </w:lvlOverride>
  </w:num>
  <w:num w:numId="32" w16cid:durableId="700125990">
    <w:abstractNumId w:val="9"/>
  </w:num>
  <w:num w:numId="33" w16cid:durableId="1415933294">
    <w:abstractNumId w:val="18"/>
  </w:num>
  <w:num w:numId="34" w16cid:durableId="108286545">
    <w:abstractNumId w:val="10"/>
  </w:num>
  <w:num w:numId="35" w16cid:durableId="1865628604">
    <w:abstractNumId w:val="16"/>
  </w:num>
  <w:num w:numId="36" w16cid:durableId="65424662">
    <w:abstractNumId w:val="5"/>
  </w:num>
  <w:num w:numId="37" w16cid:durableId="1164858170">
    <w:abstractNumId w:val="6"/>
  </w:num>
  <w:num w:numId="38" w16cid:durableId="1476753726">
    <w:abstractNumId w:val="26"/>
  </w:num>
  <w:num w:numId="39" w16cid:durableId="155344701">
    <w:abstractNumId w:val="2"/>
  </w:num>
  <w:num w:numId="40" w16cid:durableId="2088189393">
    <w:abstractNumId w:val="24"/>
  </w:num>
  <w:num w:numId="41" w16cid:durableId="704133895">
    <w:abstractNumId w:val="17"/>
  </w:num>
  <w:num w:numId="42" w16cid:durableId="131807336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37AF1"/>
    <w:rsid w:val="00046EC3"/>
    <w:rsid w:val="000514EA"/>
    <w:rsid w:val="0007478E"/>
    <w:rsid w:val="000A4548"/>
    <w:rsid w:val="000B62B8"/>
    <w:rsid w:val="000C3ADB"/>
    <w:rsid w:val="000D5183"/>
    <w:rsid w:val="000E3781"/>
    <w:rsid w:val="001037C2"/>
    <w:rsid w:val="0011045A"/>
    <w:rsid w:val="00126E41"/>
    <w:rsid w:val="00130DAF"/>
    <w:rsid w:val="0013580F"/>
    <w:rsid w:val="00140344"/>
    <w:rsid w:val="0014651B"/>
    <w:rsid w:val="0015088B"/>
    <w:rsid w:val="00166955"/>
    <w:rsid w:val="00170317"/>
    <w:rsid w:val="00194C9E"/>
    <w:rsid w:val="001B350A"/>
    <w:rsid w:val="001D4A14"/>
    <w:rsid w:val="00211D5D"/>
    <w:rsid w:val="002168DB"/>
    <w:rsid w:val="0023150E"/>
    <w:rsid w:val="002535C6"/>
    <w:rsid w:val="00255C66"/>
    <w:rsid w:val="00260D27"/>
    <w:rsid w:val="00273D29"/>
    <w:rsid w:val="00281742"/>
    <w:rsid w:val="002859E1"/>
    <w:rsid w:val="0028736C"/>
    <w:rsid w:val="002C35E1"/>
    <w:rsid w:val="002E42BC"/>
    <w:rsid w:val="002F2B79"/>
    <w:rsid w:val="002F2D96"/>
    <w:rsid w:val="00300B41"/>
    <w:rsid w:val="00307D4D"/>
    <w:rsid w:val="00310D42"/>
    <w:rsid w:val="00314F20"/>
    <w:rsid w:val="00332AFF"/>
    <w:rsid w:val="00337651"/>
    <w:rsid w:val="00357E98"/>
    <w:rsid w:val="00360C17"/>
    <w:rsid w:val="003657BF"/>
    <w:rsid w:val="00396D35"/>
    <w:rsid w:val="003A55B0"/>
    <w:rsid w:val="003B077A"/>
    <w:rsid w:val="003B500E"/>
    <w:rsid w:val="003C71EC"/>
    <w:rsid w:val="003E0E4B"/>
    <w:rsid w:val="003E28CB"/>
    <w:rsid w:val="003E68C6"/>
    <w:rsid w:val="003F4587"/>
    <w:rsid w:val="00407A74"/>
    <w:rsid w:val="004107B7"/>
    <w:rsid w:val="00411561"/>
    <w:rsid w:val="00453453"/>
    <w:rsid w:val="00454831"/>
    <w:rsid w:val="00463A33"/>
    <w:rsid w:val="0047556A"/>
    <w:rsid w:val="004A09D4"/>
    <w:rsid w:val="004A2B46"/>
    <w:rsid w:val="004A4B86"/>
    <w:rsid w:val="004A62F6"/>
    <w:rsid w:val="004A7995"/>
    <w:rsid w:val="0050133D"/>
    <w:rsid w:val="0050425C"/>
    <w:rsid w:val="00505B31"/>
    <w:rsid w:val="005061D8"/>
    <w:rsid w:val="005174E0"/>
    <w:rsid w:val="005344E7"/>
    <w:rsid w:val="00542FD8"/>
    <w:rsid w:val="00560C3B"/>
    <w:rsid w:val="00566A3D"/>
    <w:rsid w:val="00577806"/>
    <w:rsid w:val="00582ED2"/>
    <w:rsid w:val="00584F5E"/>
    <w:rsid w:val="00586554"/>
    <w:rsid w:val="00594EE3"/>
    <w:rsid w:val="005C1492"/>
    <w:rsid w:val="005D311D"/>
    <w:rsid w:val="005D6E67"/>
    <w:rsid w:val="005F12A7"/>
    <w:rsid w:val="00602F52"/>
    <w:rsid w:val="00617200"/>
    <w:rsid w:val="00655FA0"/>
    <w:rsid w:val="00665CAF"/>
    <w:rsid w:val="00671BD6"/>
    <w:rsid w:val="00673997"/>
    <w:rsid w:val="00687C8C"/>
    <w:rsid w:val="006B6139"/>
    <w:rsid w:val="006C40EC"/>
    <w:rsid w:val="006F4CD2"/>
    <w:rsid w:val="006F7FDE"/>
    <w:rsid w:val="00712809"/>
    <w:rsid w:val="00730029"/>
    <w:rsid w:val="0073685C"/>
    <w:rsid w:val="00746C40"/>
    <w:rsid w:val="00750166"/>
    <w:rsid w:val="007600E3"/>
    <w:rsid w:val="00775043"/>
    <w:rsid w:val="007801C6"/>
    <w:rsid w:val="007A2D28"/>
    <w:rsid w:val="007C0720"/>
    <w:rsid w:val="007C3885"/>
    <w:rsid w:val="007C42B8"/>
    <w:rsid w:val="007C4939"/>
    <w:rsid w:val="007E3AFE"/>
    <w:rsid w:val="007F0157"/>
    <w:rsid w:val="007F0DC6"/>
    <w:rsid w:val="007F7DEA"/>
    <w:rsid w:val="00806ED1"/>
    <w:rsid w:val="00812A0D"/>
    <w:rsid w:val="00832885"/>
    <w:rsid w:val="008366A3"/>
    <w:rsid w:val="008447C1"/>
    <w:rsid w:val="008605CB"/>
    <w:rsid w:val="008749DA"/>
    <w:rsid w:val="00893E2D"/>
    <w:rsid w:val="0089447F"/>
    <w:rsid w:val="008B3263"/>
    <w:rsid w:val="008B6EAD"/>
    <w:rsid w:val="008C36B6"/>
    <w:rsid w:val="008D5411"/>
    <w:rsid w:val="008E7291"/>
    <w:rsid w:val="008F4F88"/>
    <w:rsid w:val="009005B0"/>
    <w:rsid w:val="0090236B"/>
    <w:rsid w:val="00903AFF"/>
    <w:rsid w:val="00903B76"/>
    <w:rsid w:val="009106AB"/>
    <w:rsid w:val="0091551A"/>
    <w:rsid w:val="00915878"/>
    <w:rsid w:val="00923EED"/>
    <w:rsid w:val="00942441"/>
    <w:rsid w:val="00960BF8"/>
    <w:rsid w:val="00962E12"/>
    <w:rsid w:val="00966CF2"/>
    <w:rsid w:val="00972E00"/>
    <w:rsid w:val="00983562"/>
    <w:rsid w:val="009D18A1"/>
    <w:rsid w:val="009D27F3"/>
    <w:rsid w:val="009F276C"/>
    <w:rsid w:val="00A00BD0"/>
    <w:rsid w:val="00A02062"/>
    <w:rsid w:val="00A0326F"/>
    <w:rsid w:val="00A07EA3"/>
    <w:rsid w:val="00A10C77"/>
    <w:rsid w:val="00A14F0E"/>
    <w:rsid w:val="00A27329"/>
    <w:rsid w:val="00A330FE"/>
    <w:rsid w:val="00A536D2"/>
    <w:rsid w:val="00A57269"/>
    <w:rsid w:val="00A6049B"/>
    <w:rsid w:val="00A61A8E"/>
    <w:rsid w:val="00A62EA8"/>
    <w:rsid w:val="00A63C0A"/>
    <w:rsid w:val="00A65A71"/>
    <w:rsid w:val="00A72F36"/>
    <w:rsid w:val="00A81C30"/>
    <w:rsid w:val="00A86DA4"/>
    <w:rsid w:val="00AA77A7"/>
    <w:rsid w:val="00AA7D7F"/>
    <w:rsid w:val="00AC4164"/>
    <w:rsid w:val="00AC42D3"/>
    <w:rsid w:val="00AC780C"/>
    <w:rsid w:val="00AD2212"/>
    <w:rsid w:val="00AD3AAF"/>
    <w:rsid w:val="00AE3A5A"/>
    <w:rsid w:val="00AE762E"/>
    <w:rsid w:val="00AF3394"/>
    <w:rsid w:val="00B01E8F"/>
    <w:rsid w:val="00B0735C"/>
    <w:rsid w:val="00B11296"/>
    <w:rsid w:val="00B1325B"/>
    <w:rsid w:val="00B17ADE"/>
    <w:rsid w:val="00B50ED4"/>
    <w:rsid w:val="00B54FD7"/>
    <w:rsid w:val="00B67BBA"/>
    <w:rsid w:val="00B75676"/>
    <w:rsid w:val="00B80FDC"/>
    <w:rsid w:val="00B855F1"/>
    <w:rsid w:val="00B97F12"/>
    <w:rsid w:val="00BA121D"/>
    <w:rsid w:val="00BA6055"/>
    <w:rsid w:val="00BB167A"/>
    <w:rsid w:val="00BC0487"/>
    <w:rsid w:val="00BD03B7"/>
    <w:rsid w:val="00BD35D7"/>
    <w:rsid w:val="00BE1D3B"/>
    <w:rsid w:val="00BE2DFC"/>
    <w:rsid w:val="00BE50CC"/>
    <w:rsid w:val="00BF2D29"/>
    <w:rsid w:val="00C03D36"/>
    <w:rsid w:val="00C07670"/>
    <w:rsid w:val="00C2133F"/>
    <w:rsid w:val="00C36022"/>
    <w:rsid w:val="00C43C7F"/>
    <w:rsid w:val="00C6278B"/>
    <w:rsid w:val="00C707BA"/>
    <w:rsid w:val="00C9426B"/>
    <w:rsid w:val="00C94CCB"/>
    <w:rsid w:val="00C96E75"/>
    <w:rsid w:val="00CA6758"/>
    <w:rsid w:val="00CB4ED4"/>
    <w:rsid w:val="00CB5151"/>
    <w:rsid w:val="00CB5F1E"/>
    <w:rsid w:val="00CD5081"/>
    <w:rsid w:val="00CE0981"/>
    <w:rsid w:val="00CE3285"/>
    <w:rsid w:val="00CE45D8"/>
    <w:rsid w:val="00CF386B"/>
    <w:rsid w:val="00CF76E6"/>
    <w:rsid w:val="00D01EFD"/>
    <w:rsid w:val="00D32464"/>
    <w:rsid w:val="00D55806"/>
    <w:rsid w:val="00D62607"/>
    <w:rsid w:val="00D66803"/>
    <w:rsid w:val="00D677D8"/>
    <w:rsid w:val="00D778BB"/>
    <w:rsid w:val="00D77E92"/>
    <w:rsid w:val="00D815E4"/>
    <w:rsid w:val="00D9221C"/>
    <w:rsid w:val="00D93C71"/>
    <w:rsid w:val="00DD6A5F"/>
    <w:rsid w:val="00DE4C29"/>
    <w:rsid w:val="00DF1903"/>
    <w:rsid w:val="00DF33FA"/>
    <w:rsid w:val="00E05A72"/>
    <w:rsid w:val="00E16422"/>
    <w:rsid w:val="00E16778"/>
    <w:rsid w:val="00EC049E"/>
    <w:rsid w:val="00ED105B"/>
    <w:rsid w:val="00ED195C"/>
    <w:rsid w:val="00ED1A51"/>
    <w:rsid w:val="00EE4789"/>
    <w:rsid w:val="00F13C3C"/>
    <w:rsid w:val="00F317FB"/>
    <w:rsid w:val="00F52067"/>
    <w:rsid w:val="00F547C5"/>
    <w:rsid w:val="00F60C35"/>
    <w:rsid w:val="00F82691"/>
    <w:rsid w:val="00F87E02"/>
    <w:rsid w:val="00F957F4"/>
    <w:rsid w:val="00FC35BC"/>
    <w:rsid w:val="00FD20B8"/>
    <w:rsid w:val="00FF272D"/>
    <w:rsid w:val="0132BF10"/>
    <w:rsid w:val="014A4562"/>
    <w:rsid w:val="0198721F"/>
    <w:rsid w:val="03BA3308"/>
    <w:rsid w:val="05E02418"/>
    <w:rsid w:val="06E221A8"/>
    <w:rsid w:val="07D7B4EA"/>
    <w:rsid w:val="0895C387"/>
    <w:rsid w:val="0945BE7B"/>
    <w:rsid w:val="0993BDF7"/>
    <w:rsid w:val="09F77186"/>
    <w:rsid w:val="0A441E3A"/>
    <w:rsid w:val="0A4A24CD"/>
    <w:rsid w:val="0D7E4720"/>
    <w:rsid w:val="0E1F73CA"/>
    <w:rsid w:val="104A3AF3"/>
    <w:rsid w:val="122E9224"/>
    <w:rsid w:val="12ECA0C1"/>
    <w:rsid w:val="159EE36E"/>
    <w:rsid w:val="16A1D2EF"/>
    <w:rsid w:val="1907B32B"/>
    <w:rsid w:val="1B913C65"/>
    <w:rsid w:val="1C07356D"/>
    <w:rsid w:val="1C2C68A0"/>
    <w:rsid w:val="21C6102D"/>
    <w:rsid w:val="21FCCAA2"/>
    <w:rsid w:val="22EECFAC"/>
    <w:rsid w:val="24E7583E"/>
    <w:rsid w:val="2869AE46"/>
    <w:rsid w:val="2A03762F"/>
    <w:rsid w:val="2A1B94F6"/>
    <w:rsid w:val="2C19A7AF"/>
    <w:rsid w:val="2C69FF35"/>
    <w:rsid w:val="2D3F9989"/>
    <w:rsid w:val="2F9F826A"/>
    <w:rsid w:val="338F0ADA"/>
    <w:rsid w:val="3623EE6F"/>
    <w:rsid w:val="362A7D93"/>
    <w:rsid w:val="37FF00A8"/>
    <w:rsid w:val="3864E103"/>
    <w:rsid w:val="3A3EBC77"/>
    <w:rsid w:val="3B532D63"/>
    <w:rsid w:val="3C4D4CCF"/>
    <w:rsid w:val="3E6B6EDA"/>
    <w:rsid w:val="40BE00CB"/>
    <w:rsid w:val="4188DD7E"/>
    <w:rsid w:val="4593B328"/>
    <w:rsid w:val="46D23F36"/>
    <w:rsid w:val="4981EF9C"/>
    <w:rsid w:val="4BED32CE"/>
    <w:rsid w:val="4CEE93B3"/>
    <w:rsid w:val="4E51E690"/>
    <w:rsid w:val="52B30880"/>
    <w:rsid w:val="53B541EE"/>
    <w:rsid w:val="53C023F8"/>
    <w:rsid w:val="54C0CA63"/>
    <w:rsid w:val="55461A9A"/>
    <w:rsid w:val="5ADD2B16"/>
    <w:rsid w:val="5B088075"/>
    <w:rsid w:val="5B1D1051"/>
    <w:rsid w:val="5B5CC50E"/>
    <w:rsid w:val="5B71941F"/>
    <w:rsid w:val="5DC02B98"/>
    <w:rsid w:val="5E900C84"/>
    <w:rsid w:val="5F505FD9"/>
    <w:rsid w:val="69A41A83"/>
    <w:rsid w:val="69AB4AE1"/>
    <w:rsid w:val="6E9AB457"/>
    <w:rsid w:val="7135C3A2"/>
    <w:rsid w:val="71E5BE96"/>
    <w:rsid w:val="744D7E6C"/>
    <w:rsid w:val="74D09277"/>
    <w:rsid w:val="751D5F58"/>
    <w:rsid w:val="75DC3F7C"/>
    <w:rsid w:val="771CF523"/>
    <w:rsid w:val="7796F17D"/>
    <w:rsid w:val="77F58332"/>
    <w:rsid w:val="7B125A3E"/>
    <w:rsid w:val="7B6D6733"/>
    <w:rsid w:val="7B6E6229"/>
    <w:rsid w:val="7F9494F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F180770C-21D2-43C7-89DB-E7F6E20E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8749DA"/>
    <w:pPr>
      <w:spacing w:before="60" w:line="240" w:lineRule="exact"/>
    </w:pPr>
    <w:rPr>
      <w:rFonts w:ascii="Arial" w:eastAsia="Times New Roman" w:hAnsi="Arial" w:cs="Times New Roman"/>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CD5081"/>
    <w:pPr>
      <w:numPr>
        <w:numId w:val="4"/>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5"/>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6"/>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9"/>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8"/>
      </w:numPr>
    </w:pPr>
  </w:style>
  <w:style w:type="numbering" w:customStyle="1" w:styleId="AktuelleListe2">
    <w:name w:val="Aktuelle Liste2"/>
    <w:uiPriority w:val="99"/>
    <w:rsid w:val="00584F5E"/>
    <w:pPr>
      <w:numPr>
        <w:numId w:val="7"/>
      </w:numPr>
    </w:pPr>
  </w:style>
  <w:style w:type="paragraph" w:customStyle="1" w:styleId="TTP-Ebene1">
    <w:name w:val="TTP - Ebene 1"/>
    <w:basedOn w:val="Standard0"/>
    <w:next w:val="TTP-Ebene2"/>
    <w:uiPriority w:val="99"/>
    <w:rsid w:val="00F13C3C"/>
    <w:pPr>
      <w:numPr>
        <w:numId w:val="10"/>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11"/>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2"/>
      </w:numPr>
    </w:pPr>
  </w:style>
  <w:style w:type="numbering" w:customStyle="1" w:styleId="AktuelleListe4">
    <w:name w:val="Aktuelle Liste4"/>
    <w:uiPriority w:val="99"/>
    <w:rsid w:val="00307D4D"/>
    <w:pPr>
      <w:numPr>
        <w:numId w:val="13"/>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4"/>
      </w:numPr>
    </w:pPr>
  </w:style>
  <w:style w:type="numbering" w:customStyle="1" w:styleId="AktuelleListe6">
    <w:name w:val="Aktuelle Liste6"/>
    <w:uiPriority w:val="99"/>
    <w:rsid w:val="00AD3AAF"/>
    <w:pPr>
      <w:numPr>
        <w:numId w:val="15"/>
      </w:numPr>
    </w:pPr>
  </w:style>
  <w:style w:type="numbering" w:customStyle="1" w:styleId="AktuelleListe7">
    <w:name w:val="Aktuelle Liste7"/>
    <w:uiPriority w:val="99"/>
    <w:rsid w:val="00C96E75"/>
    <w:pPr>
      <w:numPr>
        <w:numId w:val="17"/>
      </w:numPr>
    </w:pPr>
  </w:style>
  <w:style w:type="numbering" w:customStyle="1" w:styleId="AktuelleListe8">
    <w:name w:val="Aktuelle Liste8"/>
    <w:uiPriority w:val="99"/>
    <w:rsid w:val="00C96E75"/>
    <w:pPr>
      <w:numPr>
        <w:numId w:val="18"/>
      </w:numPr>
    </w:pPr>
  </w:style>
  <w:style w:type="numbering" w:customStyle="1" w:styleId="AktuelleListe9">
    <w:name w:val="Aktuelle Liste9"/>
    <w:uiPriority w:val="99"/>
    <w:rsid w:val="00C96E75"/>
    <w:pPr>
      <w:numPr>
        <w:numId w:val="19"/>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customStyle="1" w:styleId="TableNormal1">
    <w:name w:val="Table Normal1"/>
    <w:uiPriority w:val="2"/>
    <w:semiHidden/>
    <w:unhideWhenUsed/>
    <w:qFormat/>
    <w:rsid w:val="004A799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B54FD7"/>
    <w:rPr>
      <w:sz w:val="16"/>
      <w:szCs w:val="16"/>
    </w:rPr>
  </w:style>
  <w:style w:type="paragraph" w:styleId="Kommentartext">
    <w:name w:val="annotation text"/>
    <w:basedOn w:val="Standard0"/>
    <w:link w:val="KommentartextZchn"/>
    <w:uiPriority w:val="99"/>
    <w:unhideWhenUsed/>
    <w:rsid w:val="00B54FD7"/>
    <w:pPr>
      <w:spacing w:line="240" w:lineRule="auto"/>
    </w:pPr>
    <w:rPr>
      <w:sz w:val="20"/>
      <w:szCs w:val="20"/>
    </w:rPr>
  </w:style>
  <w:style w:type="character" w:customStyle="1" w:styleId="KommentartextZchn">
    <w:name w:val="Kommentartext Zchn"/>
    <w:basedOn w:val="Absatz-Standardschriftart"/>
    <w:link w:val="Kommentartext"/>
    <w:uiPriority w:val="99"/>
    <w:rsid w:val="00B54FD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B54FD7"/>
    <w:rPr>
      <w:b/>
      <w:bCs/>
    </w:rPr>
  </w:style>
  <w:style w:type="character" w:customStyle="1" w:styleId="KommentarthemaZchn">
    <w:name w:val="Kommentarthema Zchn"/>
    <w:basedOn w:val="KommentartextZchn"/>
    <w:link w:val="Kommentarthema"/>
    <w:uiPriority w:val="99"/>
    <w:semiHidden/>
    <w:rsid w:val="00B54FD7"/>
    <w:rPr>
      <w:rFonts w:ascii="Arial" w:eastAsia="Times New Roman" w:hAnsi="Arial" w:cs="Times New Roman"/>
      <w:b/>
      <w:bCs/>
      <w:sz w:val="20"/>
      <w:szCs w:val="20"/>
      <w:lang w:eastAsia="de-DE"/>
    </w:rPr>
  </w:style>
  <w:style w:type="paragraph" w:customStyle="1" w:styleId="VNRT2PLeerzeichen">
    <w:name w:val="VNR_T2P_Leerzeichen"/>
    <w:basedOn w:val="Standard0"/>
    <w:qFormat/>
    <w:rsid w:val="005174E0"/>
    <w:pPr>
      <w:spacing w:before="0" w:line="240" w:lineRule="auto"/>
    </w:pPr>
    <w:rPr>
      <w:rFonts w:asciiTheme="minorHAnsi" w:eastAsiaTheme="minorHAnsi" w:hAnsiTheme="minorHAnsi" w:cstheme="minorBidi"/>
      <w:sz w:val="8"/>
      <w:szCs w:val="22"/>
      <w:lang w:eastAsia="en-US"/>
    </w:rPr>
  </w:style>
  <w:style w:type="paragraph" w:customStyle="1" w:styleId="StandardPapyrus">
    <w:name w:val="Standard (Papyrus)"/>
    <w:qFormat/>
    <w:rsid w:val="005174E0"/>
    <w:pPr>
      <w:spacing w:line="290" w:lineRule="auto"/>
      <w:ind w:firstLine="283"/>
      <w:jc w:val="both"/>
    </w:pPr>
    <w:rPr>
      <w:rFonts w:ascii="Arial" w:eastAsia="Times New Roman"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3D3A9-3D70-412A-8BEE-A4A94966D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1898</Words>
  <Characters>11959</Characters>
  <DocSecurity>0</DocSecurity>
  <Lines>99</Lines>
  <Paragraphs>27</Paragraphs>
  <ScaleCrop>false</ScaleCrop>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2023-03-21T20:59:00Z</dcterms:created>
  <dcterms:modified xsi:type="dcterms:W3CDTF">2023-06-20T10:19:00Z</dcterms:modified>
</cp:coreProperties>
</file>