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3043" w14:textId="77777777" w:rsidR="00530A6E" w:rsidRPr="00B11398" w:rsidRDefault="00530A6E" w:rsidP="00530A6E">
      <w:pPr>
        <w:pStyle w:val="Titel"/>
        <w:tabs>
          <w:tab w:val="left" w:pos="7020"/>
        </w:tabs>
        <w:rPr>
          <w:lang w:val="de-DE"/>
        </w:rPr>
      </w:pPr>
      <w:bookmarkStart w:id="0" w:name="_GoBack"/>
      <w:bookmarkEnd w:id="0"/>
      <w:r>
        <w:rPr>
          <w:lang w:val="de-DE" w:bidi="de-DE"/>
        </w:rPr>
        <w:tab/>
      </w:r>
    </w:p>
    <w:p w14:paraId="226AA524" w14:textId="470A0305" w:rsidR="002D63F5" w:rsidRDefault="00F03906" w:rsidP="00F03906">
      <w:pPr>
        <w:spacing w:before="95"/>
        <w:ind w:left="105"/>
        <w:rPr>
          <w:rFonts w:ascii="Arial" w:eastAsia="Times New Roman" w:hAnsi="Arial" w:cs="Times New Roman"/>
          <w:b/>
          <w:color w:val="FFFFFF"/>
          <w:sz w:val="20"/>
          <w:lang w:val="en-US" w:eastAsia="de-DE" w:bidi="de-DE"/>
        </w:rPr>
      </w:pPr>
      <w:bookmarkStart w:id="1" w:name="_q8b6blsj00hl" w:colFirst="0" w:colLast="0"/>
      <w:bookmarkEnd w:id="1"/>
      <w:r w:rsidRPr="00F03906">
        <w:rPr>
          <w:rFonts w:ascii="Arial" w:hAnsi="Arial"/>
          <w:b/>
          <w:caps/>
          <w:color w:val="009FE4"/>
          <w:sz w:val="32"/>
          <w:szCs w:val="40"/>
          <w:lang w:bidi="de-DE"/>
        </w:rPr>
        <w:t>Tabelle: Gas- und Spezialfilter und ihre Hauptanwendungsbereiche</w:t>
      </w:r>
    </w:p>
    <w:p w14:paraId="6622B4C6" w14:textId="77777777" w:rsidR="00F03906" w:rsidRDefault="00F03906" w:rsidP="00F03906">
      <w:pPr>
        <w:spacing w:before="95"/>
        <w:ind w:left="105"/>
        <w:rPr>
          <w:rFonts w:ascii="Arial" w:eastAsia="Times New Roman" w:hAnsi="Arial" w:cs="Times New Roman"/>
          <w:b/>
          <w:color w:val="FFFFFF"/>
          <w:sz w:val="20"/>
          <w:lang w:val="en-US" w:eastAsia="de-DE" w:bidi="de-DE"/>
        </w:rPr>
      </w:pPr>
    </w:p>
    <w:tbl>
      <w:tblPr>
        <w:tblStyle w:val="TableNormal"/>
        <w:tblW w:w="0" w:type="auto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5386"/>
      </w:tblGrid>
      <w:tr w:rsidR="00F03906" w14:paraId="0D486527" w14:textId="77777777" w:rsidTr="00041E74">
        <w:trPr>
          <w:trHeight w:val="579"/>
        </w:trPr>
        <w:tc>
          <w:tcPr>
            <w:tcW w:w="1602" w:type="dxa"/>
            <w:tcBorders>
              <w:top w:val="nil"/>
              <w:left w:val="nil"/>
            </w:tcBorders>
            <w:shd w:val="clear" w:color="auto" w:fill="4C4D4F"/>
          </w:tcPr>
          <w:p w14:paraId="69F608C4" w14:textId="77777777" w:rsidR="00F03906" w:rsidRDefault="00F03906" w:rsidP="00041E74">
            <w:pPr>
              <w:pStyle w:val="TableParagraph"/>
              <w:spacing w:before="43" w:line="256" w:lineRule="auto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Filtertyp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7"/>
                <w:sz w:val="20"/>
              </w:rPr>
              <w:t xml:space="preserve">(Kenn- </w:t>
            </w:r>
            <w:proofErr w:type="spellStart"/>
            <w:r>
              <w:rPr>
                <w:b/>
                <w:color w:val="FFFFFF"/>
                <w:spacing w:val="-4"/>
                <w:sz w:val="20"/>
              </w:rPr>
              <w:t>farbe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>)</w:t>
            </w:r>
          </w:p>
        </w:tc>
        <w:tc>
          <w:tcPr>
            <w:tcW w:w="5386" w:type="dxa"/>
            <w:tcBorders>
              <w:top w:val="nil"/>
              <w:right w:val="nil"/>
            </w:tcBorders>
            <w:shd w:val="clear" w:color="auto" w:fill="4C4D4F"/>
          </w:tcPr>
          <w:p w14:paraId="1EBB2A09" w14:textId="77777777" w:rsidR="00F03906" w:rsidRDefault="00F03906" w:rsidP="00041E74">
            <w:pPr>
              <w:pStyle w:val="TableParagraph"/>
              <w:spacing w:before="4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Hauptanwendungsbereich</w:t>
            </w:r>
            <w:proofErr w:type="spellEnd"/>
          </w:p>
        </w:tc>
      </w:tr>
      <w:tr w:rsidR="00F03906" w14:paraId="4BAAA9F5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623B1C"/>
          </w:tcPr>
          <w:p w14:paraId="2D5D4064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 (</w:t>
            </w:r>
            <w:proofErr w:type="spellStart"/>
            <w:r>
              <w:rPr>
                <w:b/>
                <w:color w:val="FFFFFF"/>
                <w:sz w:val="18"/>
              </w:rPr>
              <w:t>braun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6D7C1125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organische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Gase</w:t>
            </w:r>
            <w:proofErr w:type="spellEnd"/>
            <w:r>
              <w:rPr>
                <w:color w:val="231F20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z w:val="18"/>
              </w:rPr>
              <w:t>Dämpfe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mit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Siedepunkt</w:t>
            </w:r>
            <w:proofErr w:type="spellEnd"/>
            <w:r>
              <w:rPr>
                <w:color w:val="231F20"/>
                <w:sz w:val="18"/>
              </w:rPr>
              <w:t xml:space="preserve"> &gt; 65 °C</w:t>
            </w:r>
          </w:p>
        </w:tc>
      </w:tr>
      <w:tr w:rsidR="00F03906" w14:paraId="049BC120" w14:textId="77777777" w:rsidTr="00041E74">
        <w:trPr>
          <w:trHeight w:val="529"/>
        </w:trPr>
        <w:tc>
          <w:tcPr>
            <w:tcW w:w="1602" w:type="dxa"/>
            <w:tcBorders>
              <w:left w:val="nil"/>
            </w:tcBorders>
            <w:shd w:val="clear" w:color="auto" w:fill="623B1C"/>
          </w:tcPr>
          <w:p w14:paraId="6D46FD09" w14:textId="77777777" w:rsidR="00F03906" w:rsidRDefault="00F03906" w:rsidP="00041E74">
            <w:pPr>
              <w:pStyle w:val="TableParagraph"/>
              <w:spacing w:before="147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AX (</w:t>
            </w:r>
            <w:proofErr w:type="spellStart"/>
            <w:r>
              <w:rPr>
                <w:b/>
                <w:color w:val="FFFFFF"/>
                <w:sz w:val="18"/>
              </w:rPr>
              <w:t>braun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576624B9" w14:textId="77777777" w:rsidR="00F03906" w:rsidRDefault="00F03906" w:rsidP="00041E74">
            <w:pPr>
              <w:pStyle w:val="TableParagraph"/>
              <w:spacing w:line="254" w:lineRule="auto"/>
              <w:ind w:right="7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niedrigsiedende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organische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8"/>
              </w:rPr>
              <w:t>Verbindungen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Siedepunkt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65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°C)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z w:val="18"/>
              </w:rPr>
              <w:t>Niedrigsiedergruppen</w:t>
            </w:r>
            <w:proofErr w:type="spellEnd"/>
            <w:r>
              <w:rPr>
                <w:color w:val="231F20"/>
                <w:sz w:val="18"/>
              </w:rPr>
              <w:t xml:space="preserve"> 1 und</w:t>
            </w:r>
            <w:r>
              <w:rPr>
                <w:color w:val="231F20"/>
                <w:spacing w:val="-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</w:tr>
      <w:tr w:rsidR="00F03906" w14:paraId="4259E566" w14:textId="77777777" w:rsidTr="00041E74">
        <w:trPr>
          <w:trHeight w:val="529"/>
        </w:trPr>
        <w:tc>
          <w:tcPr>
            <w:tcW w:w="1602" w:type="dxa"/>
            <w:tcBorders>
              <w:left w:val="nil"/>
            </w:tcBorders>
            <w:shd w:val="clear" w:color="auto" w:fill="808285"/>
          </w:tcPr>
          <w:p w14:paraId="664C9C06" w14:textId="77777777" w:rsidR="00F03906" w:rsidRDefault="00F03906" w:rsidP="00041E74">
            <w:pPr>
              <w:pStyle w:val="TableParagraph"/>
              <w:spacing w:before="147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 (</w:t>
            </w:r>
            <w:proofErr w:type="spellStart"/>
            <w:r>
              <w:rPr>
                <w:b/>
                <w:color w:val="FFFFFF"/>
                <w:sz w:val="18"/>
              </w:rPr>
              <w:t>grau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240A8340" w14:textId="77777777" w:rsidR="00F03906" w:rsidRDefault="00F03906" w:rsidP="00041E74">
            <w:pPr>
              <w:pStyle w:val="TableParagraph"/>
              <w:spacing w:line="254" w:lineRule="auto"/>
              <w:ind w:right="14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anorganische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Gase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Dämpfe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z.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B.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Chlor</w:t>
            </w:r>
            <w:proofErr w:type="spellEnd"/>
            <w:r>
              <w:rPr>
                <w:color w:val="231F20"/>
                <w:spacing w:val="-4"/>
                <w:sz w:val="18"/>
              </w:rPr>
              <w:t>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Blausäure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Schwefel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3"/>
                <w:sz w:val="18"/>
              </w:rPr>
              <w:t>wasserstoff</w:t>
            </w:r>
            <w:proofErr w:type="spellEnd"/>
          </w:p>
        </w:tc>
      </w:tr>
      <w:tr w:rsidR="00F03906" w14:paraId="40314E2B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231F20"/>
          </w:tcPr>
          <w:p w14:paraId="0DC247E9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 (schwarz)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714D5E8D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Kohlenmonoxid</w:t>
            </w:r>
            <w:proofErr w:type="spellEnd"/>
          </w:p>
        </w:tc>
      </w:tr>
      <w:tr w:rsidR="00F03906" w14:paraId="28E264DF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FFCB04"/>
          </w:tcPr>
          <w:p w14:paraId="3E90A6B5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 (</w:t>
            </w:r>
            <w:proofErr w:type="spellStart"/>
            <w:r>
              <w:rPr>
                <w:b/>
                <w:color w:val="231F20"/>
                <w:sz w:val="18"/>
              </w:rPr>
              <w:t>gelb</w:t>
            </w:r>
            <w:proofErr w:type="spellEnd"/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4E58347C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Schwefeldioxid</w:t>
            </w:r>
            <w:proofErr w:type="spellEnd"/>
            <w:r>
              <w:rPr>
                <w:color w:val="231F20"/>
                <w:sz w:val="18"/>
              </w:rPr>
              <w:t xml:space="preserve">, </w:t>
            </w:r>
            <w:proofErr w:type="spellStart"/>
            <w:r>
              <w:rPr>
                <w:color w:val="231F20"/>
                <w:sz w:val="18"/>
              </w:rPr>
              <w:t>Chlorwasserstoff</w:t>
            </w:r>
            <w:proofErr w:type="spellEnd"/>
            <w:r>
              <w:rPr>
                <w:color w:val="231F20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z w:val="18"/>
              </w:rPr>
              <w:t>andere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saure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Gase</w:t>
            </w:r>
            <w:proofErr w:type="spellEnd"/>
          </w:p>
        </w:tc>
      </w:tr>
      <w:tr w:rsidR="00F03906" w14:paraId="7FFE62B2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C4151C"/>
          </w:tcPr>
          <w:p w14:paraId="1044811A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Hg (rot)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2F197DDD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Quecksilberdampf</w:t>
            </w:r>
            <w:proofErr w:type="spellEnd"/>
          </w:p>
        </w:tc>
      </w:tr>
      <w:tr w:rsidR="00F03906" w14:paraId="64AB955A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00A650"/>
          </w:tcPr>
          <w:p w14:paraId="5D1D3794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 (</w:t>
            </w:r>
            <w:proofErr w:type="spellStart"/>
            <w:r>
              <w:rPr>
                <w:b/>
                <w:color w:val="FFFFFF"/>
                <w:sz w:val="18"/>
              </w:rPr>
              <w:t>grün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44EA1EC7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Ammoniak</w:t>
            </w:r>
            <w:proofErr w:type="spellEnd"/>
            <w:r>
              <w:rPr>
                <w:color w:val="231F20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sz w:val="18"/>
              </w:rPr>
              <w:t>organische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Ammoniak</w:t>
            </w:r>
            <w:proofErr w:type="spellEnd"/>
            <w:r>
              <w:rPr>
                <w:color w:val="231F20"/>
                <w:sz w:val="18"/>
              </w:rPr>
              <w:t>-Derivate</w:t>
            </w:r>
          </w:p>
        </w:tc>
      </w:tr>
      <w:tr w:rsidR="00F03906" w14:paraId="6F891EFB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005496"/>
          </w:tcPr>
          <w:p w14:paraId="258D8E77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 (</w:t>
            </w:r>
            <w:proofErr w:type="spellStart"/>
            <w:r>
              <w:rPr>
                <w:b/>
                <w:color w:val="FFFFFF"/>
                <w:sz w:val="18"/>
              </w:rPr>
              <w:t>blau</w:t>
            </w:r>
            <w:proofErr w:type="spellEnd"/>
            <w:r>
              <w:rPr>
                <w:b/>
                <w:color w:val="FFFFFF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429F2CDE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nitrose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Gase</w:t>
            </w:r>
            <w:proofErr w:type="spellEnd"/>
            <w:r>
              <w:rPr>
                <w:color w:val="231F20"/>
                <w:sz w:val="18"/>
              </w:rPr>
              <w:t xml:space="preserve">, z. B. </w:t>
            </w:r>
            <w:proofErr w:type="spellStart"/>
            <w:r>
              <w:rPr>
                <w:color w:val="231F20"/>
                <w:sz w:val="18"/>
              </w:rPr>
              <w:t>Stickstoffmonoxid</w:t>
            </w:r>
            <w:proofErr w:type="spellEnd"/>
            <w:r>
              <w:rPr>
                <w:color w:val="231F20"/>
                <w:sz w:val="18"/>
              </w:rPr>
              <w:t xml:space="preserve">, </w:t>
            </w:r>
            <w:proofErr w:type="spellStart"/>
            <w:r>
              <w:rPr>
                <w:color w:val="231F20"/>
                <w:sz w:val="18"/>
              </w:rPr>
              <w:t>Stickstoffdioxid</w:t>
            </w:r>
            <w:proofErr w:type="spellEnd"/>
          </w:p>
        </w:tc>
      </w:tr>
      <w:tr w:rsidR="00F03906" w14:paraId="177BF407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</w:tcPr>
          <w:p w14:paraId="7A767752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 (</w:t>
            </w:r>
            <w:proofErr w:type="spellStart"/>
            <w:r>
              <w:rPr>
                <w:b/>
                <w:color w:val="231F20"/>
                <w:sz w:val="18"/>
              </w:rPr>
              <w:t>weiß</w:t>
            </w:r>
            <w:proofErr w:type="spellEnd"/>
            <w:r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2DCC739C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Partikel</w:t>
            </w:r>
            <w:proofErr w:type="spellEnd"/>
          </w:p>
        </w:tc>
      </w:tr>
      <w:tr w:rsidR="00F03906" w14:paraId="3E1836A9" w14:textId="77777777" w:rsidTr="00041E74">
        <w:trPr>
          <w:trHeight w:val="309"/>
        </w:trPr>
        <w:tc>
          <w:tcPr>
            <w:tcW w:w="1602" w:type="dxa"/>
            <w:tcBorders>
              <w:left w:val="nil"/>
            </w:tcBorders>
            <w:shd w:val="clear" w:color="auto" w:fill="F5821F"/>
          </w:tcPr>
          <w:p w14:paraId="094D678B" w14:textId="77777777" w:rsidR="00F03906" w:rsidRDefault="00F03906" w:rsidP="00041E74">
            <w:pPr>
              <w:pStyle w:val="TableParagraph"/>
              <w:ind w:left="5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Reaktor</w:t>
            </w:r>
            <w:proofErr w:type="spellEnd"/>
            <w:r>
              <w:rPr>
                <w:b/>
                <w:color w:val="FFFFFF"/>
                <w:sz w:val="18"/>
              </w:rPr>
              <w:t xml:space="preserve"> (orange)</w:t>
            </w:r>
          </w:p>
        </w:tc>
        <w:tc>
          <w:tcPr>
            <w:tcW w:w="5386" w:type="dxa"/>
            <w:tcBorders>
              <w:right w:val="nil"/>
            </w:tcBorders>
            <w:shd w:val="clear" w:color="auto" w:fill="E0E1E3"/>
          </w:tcPr>
          <w:p w14:paraId="7989FF68" w14:textId="77777777" w:rsidR="00F03906" w:rsidRDefault="00F03906" w:rsidP="00041E74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radioaktives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Iod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einschließlich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radioaktivem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Iodmethan</w:t>
            </w:r>
            <w:proofErr w:type="spellEnd"/>
          </w:p>
        </w:tc>
      </w:tr>
    </w:tbl>
    <w:p w14:paraId="5C7E0797" w14:textId="77777777" w:rsidR="00F03906" w:rsidRPr="00530A6E" w:rsidRDefault="00F03906" w:rsidP="00F03906">
      <w:pPr>
        <w:spacing w:before="95"/>
        <w:ind w:left="105"/>
      </w:pPr>
    </w:p>
    <w:sectPr w:rsidR="00F03906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F3DA" w14:textId="77777777" w:rsidR="00D35330" w:rsidRDefault="00D35330" w:rsidP="008B0457">
      <w:pPr>
        <w:spacing w:line="240" w:lineRule="auto"/>
      </w:pPr>
      <w:r>
        <w:separator/>
      </w:r>
    </w:p>
  </w:endnote>
  <w:endnote w:type="continuationSeparator" w:id="0">
    <w:p w14:paraId="05062B38" w14:textId="77777777" w:rsidR="00D35330" w:rsidRDefault="00D3533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4ADF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5122" w14:textId="77777777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1A8EF94" wp14:editId="08FBCBEC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DA71B49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2020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F03906" w:rsidRPr="00F03906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5C0C5047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5259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A876" w14:textId="77777777" w:rsidR="00D35330" w:rsidRDefault="00D35330" w:rsidP="008B0457">
      <w:pPr>
        <w:spacing w:line="240" w:lineRule="auto"/>
      </w:pPr>
      <w:r>
        <w:separator/>
      </w:r>
    </w:p>
  </w:footnote>
  <w:footnote w:type="continuationSeparator" w:id="0">
    <w:p w14:paraId="00FB17EF" w14:textId="77777777" w:rsidR="00D35330" w:rsidRDefault="00D3533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AD50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A7F07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423769D2" wp14:editId="62E3801E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4DA2983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4CB6EF24" wp14:editId="210115AA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271A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47"/>
    <w:rsid w:val="0003156E"/>
    <w:rsid w:val="001421CE"/>
    <w:rsid w:val="00181F90"/>
    <w:rsid w:val="00194FA3"/>
    <w:rsid w:val="002A0996"/>
    <w:rsid w:val="002B1C90"/>
    <w:rsid w:val="002D5565"/>
    <w:rsid w:val="002D63F5"/>
    <w:rsid w:val="003A77CE"/>
    <w:rsid w:val="003F7E3D"/>
    <w:rsid w:val="00530A6E"/>
    <w:rsid w:val="00585E82"/>
    <w:rsid w:val="005A3DD0"/>
    <w:rsid w:val="005A5989"/>
    <w:rsid w:val="006259A1"/>
    <w:rsid w:val="006747B0"/>
    <w:rsid w:val="00675F78"/>
    <w:rsid w:val="006C0196"/>
    <w:rsid w:val="006C0AED"/>
    <w:rsid w:val="006C27EC"/>
    <w:rsid w:val="006C444D"/>
    <w:rsid w:val="0081053B"/>
    <w:rsid w:val="00811147"/>
    <w:rsid w:val="00876DE5"/>
    <w:rsid w:val="00887C47"/>
    <w:rsid w:val="008B0457"/>
    <w:rsid w:val="008E1BDC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A5824"/>
    <w:rsid w:val="00BB5447"/>
    <w:rsid w:val="00C67D68"/>
    <w:rsid w:val="00D00296"/>
    <w:rsid w:val="00D0768F"/>
    <w:rsid w:val="00D141B9"/>
    <w:rsid w:val="00D35330"/>
    <w:rsid w:val="00D41208"/>
    <w:rsid w:val="00D56CAC"/>
    <w:rsid w:val="00E42E27"/>
    <w:rsid w:val="00E71676"/>
    <w:rsid w:val="00EE14B4"/>
    <w:rsid w:val="00F0046E"/>
    <w:rsid w:val="00F03906"/>
    <w:rsid w:val="00F06AF6"/>
    <w:rsid w:val="00F5564F"/>
    <w:rsid w:val="00F6243E"/>
    <w:rsid w:val="00F93095"/>
    <w:rsid w:val="00FA0816"/>
    <w:rsid w:val="00FB4A42"/>
    <w:rsid w:val="00FD2B26"/>
    <w:rsid w:val="00FF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8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2020-03-04T20:09:00Z</dcterms:created>
  <dcterms:modified xsi:type="dcterms:W3CDTF">2020-03-04T20:09:00Z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