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7EC" w:rsidRPr="00B11398" w:rsidRDefault="00552F5A" w:rsidP="00C67D68">
      <w:pPr>
        <w:pStyle w:val="Titel"/>
        <w:tabs>
          <w:tab w:val="left" w:pos="7020"/>
        </w:tabs>
        <w:rPr>
          <w:lang w:val="de-DE"/>
        </w:rPr>
      </w:pPr>
      <w:r>
        <w:rPr>
          <w:color w:val="4A4A4B"/>
          <w:lang w:val="de-DE" w:bidi="de-DE"/>
        </w:rPr>
        <w:t>gefährdungsbeurteilung: so identifizieren sie explosionsgefährdete bereiche</w:t>
      </w:r>
    </w:p>
    <w:p w:rsidR="00811147" w:rsidRDefault="00552F5A" w:rsidP="00811147">
      <w:pPr>
        <w:spacing w:before="95"/>
        <w:ind w:left="105"/>
        <w:rPr>
          <w:rFonts w:ascii="Arial" w:hAnsi="Arial"/>
          <w:b/>
          <w:caps/>
          <w:color w:val="009FE4"/>
          <w:sz w:val="32"/>
          <w:szCs w:val="40"/>
          <w:lang w:bidi="de-DE"/>
        </w:rPr>
      </w:pPr>
      <w:bookmarkStart w:id="0" w:name="_q8b6blsj00hl" w:colFirst="0" w:colLast="0"/>
      <w:bookmarkEnd w:id="0"/>
      <w:r>
        <w:rPr>
          <w:rFonts w:ascii="Arial" w:hAnsi="Arial"/>
          <w:b/>
          <w:caps/>
          <w:color w:val="009FE4"/>
          <w:sz w:val="32"/>
          <w:szCs w:val="40"/>
          <w:lang w:bidi="de-DE"/>
        </w:rPr>
        <w:t>tabelle: übersicht der zoneneinteilung</w:t>
      </w:r>
    </w:p>
    <w:p w:rsidR="00E167AC" w:rsidRPr="00E167AC" w:rsidRDefault="00E167AC" w:rsidP="00E167AC">
      <w:pPr>
        <w:autoSpaceDE w:val="0"/>
        <w:autoSpaceDN w:val="0"/>
        <w:adjustRightInd w:val="0"/>
        <w:spacing w:before="0" w:after="0" w:line="240" w:lineRule="auto"/>
        <w:rPr>
          <w:rFonts w:asciiTheme="majorHAnsi" w:hAnsiTheme="majorHAnsi" w:cstheme="majorHAnsi"/>
          <w:sz w:val="20"/>
          <w:szCs w:val="20"/>
        </w:rPr>
      </w:pPr>
      <w:r w:rsidRPr="00E167AC">
        <w:rPr>
          <w:rFonts w:asciiTheme="majorHAnsi" w:hAnsiTheme="majorHAnsi" w:cstheme="majorHAnsi"/>
          <w:sz w:val="20"/>
          <w:szCs w:val="20"/>
        </w:rPr>
        <w:t>Wird die Bildung einer gefährlichen explosionsfähigen Atmosphäre</w:t>
      </w:r>
      <w:r w:rsidRPr="00E167AC">
        <w:rPr>
          <w:rFonts w:asciiTheme="majorHAnsi" w:hAnsiTheme="majorHAnsi" w:cstheme="majorHAnsi"/>
          <w:sz w:val="20"/>
          <w:szCs w:val="20"/>
        </w:rPr>
        <w:t xml:space="preserve"> </w:t>
      </w:r>
      <w:r w:rsidRPr="00E167AC">
        <w:rPr>
          <w:rFonts w:asciiTheme="majorHAnsi" w:hAnsiTheme="majorHAnsi" w:cstheme="majorHAnsi"/>
          <w:sz w:val="20"/>
          <w:szCs w:val="20"/>
        </w:rPr>
        <w:t>nicht sicher verhindert, sind zusätzliche technische und organisatorische</w:t>
      </w:r>
      <w:r>
        <w:rPr>
          <w:rFonts w:asciiTheme="majorHAnsi" w:hAnsiTheme="majorHAnsi" w:cstheme="majorHAnsi"/>
          <w:sz w:val="20"/>
          <w:szCs w:val="20"/>
        </w:rPr>
        <w:t xml:space="preserve"> </w:t>
      </w:r>
      <w:r w:rsidRPr="00E167AC">
        <w:rPr>
          <w:rFonts w:asciiTheme="majorHAnsi" w:hAnsiTheme="majorHAnsi" w:cstheme="majorHAnsi"/>
          <w:sz w:val="20"/>
          <w:szCs w:val="20"/>
        </w:rPr>
        <w:t>Explosionsschutzmaßnahmen notwendig. Damit Sie zielgerichtet</w:t>
      </w:r>
      <w:r w:rsidRPr="00E167AC">
        <w:rPr>
          <w:rFonts w:asciiTheme="majorHAnsi" w:hAnsiTheme="majorHAnsi" w:cstheme="majorHAnsi"/>
          <w:sz w:val="20"/>
          <w:szCs w:val="20"/>
        </w:rPr>
        <w:t xml:space="preserve"> </w:t>
      </w:r>
      <w:r w:rsidRPr="00E167AC">
        <w:rPr>
          <w:rFonts w:asciiTheme="majorHAnsi" w:hAnsiTheme="majorHAnsi" w:cstheme="majorHAnsi"/>
          <w:sz w:val="20"/>
          <w:szCs w:val="20"/>
        </w:rPr>
        <w:t>geeignete Schutzmaßnahmen auswählen können, müssen Sie die Bereiche,</w:t>
      </w:r>
      <w:r w:rsidRPr="00E167AC">
        <w:rPr>
          <w:rFonts w:asciiTheme="majorHAnsi" w:hAnsiTheme="majorHAnsi" w:cstheme="majorHAnsi"/>
          <w:sz w:val="20"/>
          <w:szCs w:val="20"/>
        </w:rPr>
        <w:t xml:space="preserve"> </w:t>
      </w:r>
      <w:r w:rsidRPr="00E167AC">
        <w:rPr>
          <w:rFonts w:asciiTheme="majorHAnsi" w:hAnsiTheme="majorHAnsi" w:cstheme="majorHAnsi"/>
          <w:sz w:val="20"/>
          <w:szCs w:val="20"/>
        </w:rPr>
        <w:t>in denen explosionsfähige Atmosphäre auftritt, in Zonen einteilen.</w:t>
      </w:r>
      <w:r w:rsidRPr="00E167AC">
        <w:rPr>
          <w:rFonts w:asciiTheme="majorHAnsi" w:hAnsiTheme="majorHAnsi" w:cstheme="majorHAnsi"/>
          <w:sz w:val="20"/>
          <w:szCs w:val="20"/>
        </w:rPr>
        <w:t xml:space="preserve"> </w:t>
      </w:r>
      <w:r w:rsidRPr="00E167AC">
        <w:rPr>
          <w:rFonts w:asciiTheme="majorHAnsi" w:hAnsiTheme="majorHAnsi" w:cstheme="majorHAnsi"/>
          <w:sz w:val="20"/>
          <w:szCs w:val="20"/>
        </w:rPr>
        <w:t>Die Zuweisung der in der Tabelle auf folgender Seite dargestellten</w:t>
      </w:r>
      <w:r w:rsidRPr="00E167AC">
        <w:rPr>
          <w:rFonts w:asciiTheme="majorHAnsi" w:hAnsiTheme="majorHAnsi" w:cstheme="majorHAnsi"/>
          <w:sz w:val="20"/>
          <w:szCs w:val="20"/>
        </w:rPr>
        <w:t xml:space="preserve"> </w:t>
      </w:r>
      <w:r w:rsidRPr="00E167AC">
        <w:rPr>
          <w:rFonts w:asciiTheme="majorHAnsi" w:hAnsiTheme="majorHAnsi" w:cstheme="majorHAnsi"/>
          <w:sz w:val="20"/>
          <w:szCs w:val="20"/>
        </w:rPr>
        <w:t>Zonen erfolgt in Abhängigkeit von der typischen Dauer des Vorhandenseins</w:t>
      </w:r>
      <w:r w:rsidRPr="00E167AC">
        <w:rPr>
          <w:rFonts w:asciiTheme="majorHAnsi" w:hAnsiTheme="majorHAnsi" w:cstheme="majorHAnsi"/>
          <w:sz w:val="20"/>
          <w:szCs w:val="20"/>
        </w:rPr>
        <w:t xml:space="preserve"> </w:t>
      </w:r>
      <w:r w:rsidRPr="00E167AC">
        <w:rPr>
          <w:rFonts w:asciiTheme="majorHAnsi" w:hAnsiTheme="majorHAnsi" w:cstheme="majorHAnsi"/>
          <w:sz w:val="20"/>
          <w:szCs w:val="20"/>
        </w:rPr>
        <w:t>explosionsfähiger Atmosphäre.</w:t>
      </w:r>
    </w:p>
    <w:p w:rsidR="00E167AC" w:rsidRPr="00E167AC" w:rsidRDefault="00E167AC" w:rsidP="00E167AC">
      <w:pPr>
        <w:autoSpaceDE w:val="0"/>
        <w:autoSpaceDN w:val="0"/>
        <w:adjustRightInd w:val="0"/>
        <w:spacing w:before="0" w:after="0" w:line="240" w:lineRule="auto"/>
        <w:rPr>
          <w:rFonts w:asciiTheme="majorHAnsi" w:hAnsiTheme="majorHAnsi" w:cstheme="majorHAnsi"/>
          <w:b/>
          <w:caps/>
          <w:color w:val="009FE4"/>
          <w:sz w:val="32"/>
          <w:szCs w:val="40"/>
          <w:lang w:bidi="de-DE"/>
        </w:rPr>
      </w:pPr>
      <w:r w:rsidRPr="00E167AC">
        <w:rPr>
          <w:rFonts w:asciiTheme="majorHAnsi" w:hAnsiTheme="majorHAnsi" w:cstheme="majorHAnsi"/>
          <w:sz w:val="20"/>
          <w:szCs w:val="20"/>
        </w:rPr>
        <w:t>Die Ziffern 0, 1 oder 2 werden Zonen explosionsfähiger Atmosphäre als Gemisch aus Luft, brennbaren Gasen, Dämpfen oder Nebeln und die Ziffern 20, 21, 22 Bereichen, in denen explosionsfähige Atmosphäre in Form einer Wolke aus brennbarem Staub, der in der Luft enthalten ist, zugeordnet (siehe Tabelle).</w:t>
      </w:r>
    </w:p>
    <w:p w:rsidR="00B41020" w:rsidRDefault="00B41020" w:rsidP="00811147">
      <w:pPr>
        <w:spacing w:before="95"/>
        <w:ind w:left="105"/>
        <w:rPr>
          <w:sz w:val="16"/>
        </w:rPr>
      </w:pPr>
    </w:p>
    <w:tbl>
      <w:tblPr>
        <w:tblStyle w:val="TableNormal"/>
        <w:tblW w:w="127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694"/>
        <w:gridCol w:w="4961"/>
        <w:gridCol w:w="5103"/>
      </w:tblGrid>
      <w:tr w:rsidR="00B41020" w:rsidRPr="005A5989" w:rsidTr="00552F5A">
        <w:trPr>
          <w:trHeight w:val="580"/>
        </w:trPr>
        <w:tc>
          <w:tcPr>
            <w:tcW w:w="7655" w:type="dxa"/>
            <w:gridSpan w:val="2"/>
            <w:tcBorders>
              <w:top w:val="nil"/>
              <w:left w:val="nil"/>
              <w:bottom w:val="nil"/>
              <w:right w:val="nil"/>
            </w:tcBorders>
            <w:shd w:val="clear" w:color="auto" w:fill="4A4A4B"/>
          </w:tcPr>
          <w:p w:rsidR="00B41020" w:rsidRPr="005A5989" w:rsidRDefault="00552F5A" w:rsidP="00EF6DED">
            <w:pPr>
              <w:pStyle w:val="TableParagraph"/>
              <w:spacing w:before="43"/>
              <w:ind w:left="56"/>
              <w:rPr>
                <w:b/>
                <w:color w:val="FFFFFF"/>
                <w:sz w:val="20"/>
              </w:rPr>
            </w:pPr>
            <w:r>
              <w:rPr>
                <w:b/>
                <w:color w:val="FFFFFF"/>
                <w:sz w:val="20"/>
              </w:rPr>
              <w:t>Zone</w:t>
            </w:r>
            <w:r w:rsidR="00B41020">
              <w:rPr>
                <w:b/>
                <w:color w:val="FFFFFF"/>
                <w:sz w:val="20"/>
              </w:rPr>
              <w:t xml:space="preserve">              </w:t>
            </w:r>
            <w:r w:rsidR="00BA4C26">
              <w:rPr>
                <w:b/>
                <w:color w:val="FFFFFF"/>
                <w:sz w:val="20"/>
              </w:rPr>
              <w:t xml:space="preserve">                         </w:t>
            </w:r>
            <w:proofErr w:type="spellStart"/>
            <w:r>
              <w:rPr>
                <w:b/>
                <w:color w:val="FFFFFF"/>
                <w:sz w:val="20"/>
              </w:rPr>
              <w:t>Beschreibung</w:t>
            </w:r>
            <w:proofErr w:type="spellEnd"/>
            <w:r w:rsidR="00B41020">
              <w:rPr>
                <w:b/>
                <w:color w:val="FFFFFF"/>
                <w:sz w:val="20"/>
              </w:rPr>
              <w:br/>
            </w:r>
          </w:p>
        </w:tc>
        <w:tc>
          <w:tcPr>
            <w:tcW w:w="5103" w:type="dxa"/>
            <w:tcBorders>
              <w:top w:val="nil"/>
              <w:left w:val="nil"/>
              <w:bottom w:val="nil"/>
              <w:right w:val="nil"/>
            </w:tcBorders>
            <w:shd w:val="clear" w:color="auto" w:fill="4A4A4B"/>
          </w:tcPr>
          <w:p w:rsidR="00B41020" w:rsidRPr="005A5989" w:rsidRDefault="00552F5A" w:rsidP="00EF6DED">
            <w:pPr>
              <w:pStyle w:val="TableParagraph"/>
              <w:spacing w:before="43"/>
              <w:ind w:left="56"/>
              <w:rPr>
                <w:b/>
                <w:color w:val="FFFFFF"/>
                <w:sz w:val="20"/>
              </w:rPr>
            </w:pPr>
            <w:proofErr w:type="spellStart"/>
            <w:r>
              <w:rPr>
                <w:b/>
                <w:color w:val="FFFFFF"/>
                <w:sz w:val="20"/>
              </w:rPr>
              <w:t>Beispiele</w:t>
            </w:r>
            <w:proofErr w:type="spellEnd"/>
          </w:p>
        </w:tc>
      </w:tr>
      <w:tr w:rsidR="009B4592" w:rsidRPr="005A5989" w:rsidTr="00552F5A">
        <w:trPr>
          <w:trHeight w:val="171"/>
        </w:trPr>
        <w:tc>
          <w:tcPr>
            <w:tcW w:w="2694" w:type="dxa"/>
            <w:tcBorders>
              <w:left w:val="nil"/>
            </w:tcBorders>
            <w:shd w:val="clear" w:color="auto" w:fill="E0E1E3"/>
          </w:tcPr>
          <w:p w:rsidR="009B4592" w:rsidRPr="00EC6CCB" w:rsidRDefault="00552F5A" w:rsidP="009B4592">
            <w:pPr>
              <w:pStyle w:val="Pa6"/>
              <w:spacing w:before="100"/>
              <w:rPr>
                <w:rFonts w:ascii="Arial" w:hAnsi="Arial" w:cs="Arial"/>
                <w:color w:val="211D1E"/>
                <w:sz w:val="20"/>
                <w:szCs w:val="20"/>
              </w:rPr>
            </w:pPr>
            <w:r>
              <w:rPr>
                <w:rFonts w:ascii="Arial" w:hAnsi="Arial" w:cs="Arial"/>
                <w:color w:val="211D1E"/>
                <w:sz w:val="20"/>
                <w:szCs w:val="20"/>
              </w:rPr>
              <w:t>Zone 0</w:t>
            </w:r>
            <w:r>
              <w:rPr>
                <w:rFonts w:ascii="Arial" w:hAnsi="Arial" w:cs="Arial"/>
                <w:color w:val="211D1E"/>
                <w:sz w:val="20"/>
                <w:szCs w:val="20"/>
              </w:rPr>
              <w:br/>
              <w:t>Zone 20</w:t>
            </w:r>
            <w:r w:rsidR="009B4592" w:rsidRPr="00EC6CCB">
              <w:rPr>
                <w:rFonts w:ascii="Arial" w:hAnsi="Arial" w:cs="Arial"/>
                <w:color w:val="211D1E"/>
                <w:sz w:val="20"/>
                <w:szCs w:val="20"/>
              </w:rPr>
              <w:t xml:space="preserve"> </w:t>
            </w:r>
          </w:p>
        </w:tc>
        <w:tc>
          <w:tcPr>
            <w:tcW w:w="4961" w:type="dxa"/>
            <w:shd w:val="clear" w:color="auto" w:fill="E0E1E3"/>
          </w:tcPr>
          <w:p w:rsidR="009B4592" w:rsidRPr="00E167AC" w:rsidRDefault="00552F5A" w:rsidP="00552F5A">
            <w:pPr>
              <w:adjustRightInd w:val="0"/>
              <w:spacing w:before="0" w:after="0" w:line="240" w:lineRule="auto"/>
              <w:rPr>
                <w:rFonts w:asciiTheme="majorHAnsi" w:hAnsiTheme="majorHAnsi" w:cstheme="majorHAnsi"/>
                <w:sz w:val="20"/>
                <w:szCs w:val="20"/>
                <w:lang w:val="de-DE"/>
              </w:rPr>
            </w:pPr>
            <w:r w:rsidRPr="00E167AC">
              <w:rPr>
                <w:rFonts w:asciiTheme="majorHAnsi" w:hAnsiTheme="majorHAnsi" w:cstheme="majorHAnsi"/>
                <w:sz w:val="20"/>
                <w:szCs w:val="20"/>
                <w:lang w:val="de-DE"/>
              </w:rPr>
              <w:t>Ein Bereich, in dem gefährliche explosionsfähige Atmosphäre als Gemisch aus Luft und brennbaren Stoffen ständig, über lange Zeiträume oder häufig vorhanden ist.</w:t>
            </w:r>
          </w:p>
        </w:tc>
        <w:tc>
          <w:tcPr>
            <w:tcW w:w="5103" w:type="dxa"/>
            <w:shd w:val="clear" w:color="auto" w:fill="E0E1E3"/>
          </w:tcPr>
          <w:p w:rsidR="009B4592" w:rsidRPr="00E167AC" w:rsidRDefault="00552F5A" w:rsidP="00552F5A">
            <w:pPr>
              <w:adjustRightInd w:val="0"/>
              <w:spacing w:before="0" w:after="0" w:line="240" w:lineRule="auto"/>
              <w:rPr>
                <w:rFonts w:asciiTheme="majorHAnsi" w:hAnsiTheme="majorHAnsi" w:cstheme="majorHAnsi"/>
                <w:sz w:val="20"/>
                <w:szCs w:val="20"/>
                <w:lang w:val="de-DE"/>
              </w:rPr>
            </w:pPr>
            <w:r w:rsidRPr="00E167AC">
              <w:rPr>
                <w:rFonts w:asciiTheme="majorHAnsi" w:hAnsiTheme="majorHAnsi" w:cstheme="majorHAnsi"/>
                <w:sz w:val="20"/>
                <w:szCs w:val="20"/>
                <w:lang w:val="de-DE"/>
              </w:rPr>
              <w:t>Das Innere von Behältern oder Apparaturen, bei staubenden Gütern, auch Mühlen, Trocknern, Mischern, Förderleitungen, Silos etc.</w:t>
            </w:r>
          </w:p>
        </w:tc>
      </w:tr>
      <w:tr w:rsidR="009B4592" w:rsidRPr="005A5989" w:rsidTr="00552F5A">
        <w:trPr>
          <w:trHeight w:val="171"/>
        </w:trPr>
        <w:tc>
          <w:tcPr>
            <w:tcW w:w="2694" w:type="dxa"/>
            <w:tcBorders>
              <w:left w:val="nil"/>
            </w:tcBorders>
            <w:shd w:val="clear" w:color="auto" w:fill="E0E1E3"/>
          </w:tcPr>
          <w:p w:rsidR="009B4592" w:rsidRPr="00EC6CCB" w:rsidRDefault="00552F5A" w:rsidP="009B4592">
            <w:pPr>
              <w:pStyle w:val="Pa6"/>
              <w:spacing w:before="100"/>
              <w:rPr>
                <w:rFonts w:ascii="Arial" w:hAnsi="Arial" w:cs="Arial"/>
                <w:color w:val="211D1E"/>
                <w:sz w:val="20"/>
                <w:szCs w:val="20"/>
              </w:rPr>
            </w:pPr>
            <w:r>
              <w:rPr>
                <w:rFonts w:ascii="Arial" w:hAnsi="Arial" w:cs="Arial"/>
                <w:color w:val="211D1E"/>
                <w:sz w:val="20"/>
                <w:szCs w:val="20"/>
              </w:rPr>
              <w:t>Zone 1</w:t>
            </w:r>
            <w:r>
              <w:rPr>
                <w:rFonts w:ascii="Arial" w:hAnsi="Arial" w:cs="Arial"/>
                <w:color w:val="211D1E"/>
                <w:sz w:val="20"/>
                <w:szCs w:val="20"/>
              </w:rPr>
              <w:br/>
              <w:t>Zone 21</w:t>
            </w:r>
            <w:r w:rsidR="009B4592" w:rsidRPr="00EC6CCB">
              <w:rPr>
                <w:rFonts w:ascii="Arial" w:hAnsi="Arial" w:cs="Arial"/>
                <w:color w:val="211D1E"/>
                <w:sz w:val="20"/>
                <w:szCs w:val="20"/>
              </w:rPr>
              <w:t xml:space="preserve"> </w:t>
            </w:r>
          </w:p>
        </w:tc>
        <w:tc>
          <w:tcPr>
            <w:tcW w:w="4961" w:type="dxa"/>
            <w:shd w:val="clear" w:color="auto" w:fill="E0E1E3"/>
          </w:tcPr>
          <w:p w:rsidR="009B4592" w:rsidRPr="00E167AC" w:rsidRDefault="00552F5A" w:rsidP="00552F5A">
            <w:pPr>
              <w:adjustRightInd w:val="0"/>
              <w:spacing w:before="0" w:after="0" w:line="240" w:lineRule="auto"/>
              <w:rPr>
                <w:rFonts w:asciiTheme="majorHAnsi" w:hAnsiTheme="majorHAnsi" w:cstheme="majorHAnsi"/>
                <w:sz w:val="20"/>
                <w:szCs w:val="20"/>
                <w:lang w:val="de-DE"/>
              </w:rPr>
            </w:pPr>
            <w:r w:rsidRPr="00E167AC">
              <w:rPr>
                <w:rFonts w:asciiTheme="majorHAnsi" w:hAnsiTheme="majorHAnsi" w:cstheme="majorHAnsi"/>
                <w:sz w:val="20"/>
                <w:szCs w:val="20"/>
                <w:lang w:val="de-DE"/>
              </w:rPr>
              <w:t>Ein Bereich, in dem sich im Normalbetrieb gelegentlich eine gefährliche explosionsfähige Atmosphäre als Gemisch aus Luft und brennbaren Stoffen bilden kann.</w:t>
            </w:r>
          </w:p>
        </w:tc>
        <w:tc>
          <w:tcPr>
            <w:tcW w:w="5103" w:type="dxa"/>
            <w:shd w:val="clear" w:color="auto" w:fill="E0E1E3"/>
          </w:tcPr>
          <w:p w:rsidR="00552F5A" w:rsidRPr="00E167AC" w:rsidRDefault="00552F5A" w:rsidP="00552F5A">
            <w:pPr>
              <w:adjustRightInd w:val="0"/>
              <w:spacing w:before="0" w:after="0" w:line="240" w:lineRule="auto"/>
              <w:rPr>
                <w:rFonts w:asciiTheme="majorHAnsi" w:hAnsiTheme="majorHAnsi" w:cstheme="majorHAnsi"/>
                <w:sz w:val="20"/>
                <w:szCs w:val="20"/>
                <w:lang w:val="de-DE"/>
              </w:rPr>
            </w:pPr>
            <w:r w:rsidRPr="00E167AC">
              <w:rPr>
                <w:rFonts w:asciiTheme="majorHAnsi" w:hAnsiTheme="majorHAnsi" w:cstheme="majorHAnsi"/>
                <w:sz w:val="20"/>
                <w:szCs w:val="20"/>
                <w:lang w:val="de-DE"/>
              </w:rPr>
              <w:t>Die nähere Umgebung von Beschickungs-, Füll- oder Entleerungsöffnungen, die nähere Umgebung um die Zone 0, der nähere Bereich bei Abfüllstellen in Behälter oder Bereiche, in denen abgelagerter Staub in solchen Mengen vorliegt, dass es bereits im Normalbetrieb</w:t>
            </w:r>
          </w:p>
          <w:p w:rsidR="009B4592" w:rsidRPr="00E167AC" w:rsidRDefault="00552F5A" w:rsidP="00552F5A">
            <w:pPr>
              <w:adjustRightInd w:val="0"/>
              <w:spacing w:before="0" w:after="0" w:line="240" w:lineRule="auto"/>
              <w:rPr>
                <w:rFonts w:asciiTheme="majorHAnsi" w:hAnsiTheme="majorHAnsi" w:cstheme="majorHAnsi"/>
                <w:sz w:val="20"/>
                <w:szCs w:val="20"/>
                <w:lang w:val="de-DE"/>
              </w:rPr>
            </w:pPr>
            <w:r w:rsidRPr="00E167AC">
              <w:rPr>
                <w:rFonts w:asciiTheme="majorHAnsi" w:hAnsiTheme="majorHAnsi" w:cstheme="majorHAnsi"/>
                <w:sz w:val="20"/>
                <w:szCs w:val="20"/>
                <w:lang w:val="de-DE"/>
              </w:rPr>
              <w:t>gelegentlich zum Aufwirbeln kommen kann.</w:t>
            </w:r>
          </w:p>
        </w:tc>
      </w:tr>
      <w:tr w:rsidR="009B4592" w:rsidRPr="005A5989" w:rsidTr="00552F5A">
        <w:trPr>
          <w:trHeight w:val="171"/>
        </w:trPr>
        <w:tc>
          <w:tcPr>
            <w:tcW w:w="2694" w:type="dxa"/>
            <w:tcBorders>
              <w:left w:val="nil"/>
            </w:tcBorders>
            <w:shd w:val="clear" w:color="auto" w:fill="E0E1E3"/>
          </w:tcPr>
          <w:p w:rsidR="009B4592" w:rsidRPr="00EC6CCB" w:rsidRDefault="00552F5A" w:rsidP="009B4592">
            <w:pPr>
              <w:pStyle w:val="Pa6"/>
              <w:spacing w:before="100"/>
              <w:rPr>
                <w:rFonts w:ascii="Arial" w:hAnsi="Arial" w:cs="Arial"/>
                <w:color w:val="211D1E"/>
                <w:sz w:val="20"/>
                <w:szCs w:val="20"/>
              </w:rPr>
            </w:pPr>
            <w:r>
              <w:rPr>
                <w:rFonts w:ascii="Arial" w:hAnsi="Arial" w:cs="Arial"/>
                <w:color w:val="211D1E"/>
                <w:sz w:val="20"/>
                <w:szCs w:val="20"/>
              </w:rPr>
              <w:t>Zone 2</w:t>
            </w:r>
            <w:r>
              <w:rPr>
                <w:rFonts w:ascii="Arial" w:hAnsi="Arial" w:cs="Arial"/>
                <w:color w:val="211D1E"/>
                <w:sz w:val="20"/>
                <w:szCs w:val="20"/>
              </w:rPr>
              <w:br/>
              <w:t>Zone 22</w:t>
            </w:r>
            <w:r w:rsidR="009B4592" w:rsidRPr="00EC6CCB">
              <w:rPr>
                <w:rFonts w:ascii="Arial" w:hAnsi="Arial" w:cs="Arial"/>
                <w:color w:val="211D1E"/>
                <w:sz w:val="20"/>
                <w:szCs w:val="20"/>
              </w:rPr>
              <w:t xml:space="preserve"> </w:t>
            </w:r>
          </w:p>
        </w:tc>
        <w:tc>
          <w:tcPr>
            <w:tcW w:w="4961" w:type="dxa"/>
            <w:shd w:val="clear" w:color="auto" w:fill="E0E1E3"/>
          </w:tcPr>
          <w:p w:rsidR="009B4592" w:rsidRPr="00E167AC" w:rsidRDefault="00552F5A" w:rsidP="00552F5A">
            <w:pPr>
              <w:adjustRightInd w:val="0"/>
              <w:spacing w:before="0" w:after="0" w:line="240" w:lineRule="auto"/>
              <w:rPr>
                <w:rFonts w:asciiTheme="majorHAnsi" w:hAnsiTheme="majorHAnsi" w:cstheme="majorHAnsi"/>
                <w:sz w:val="20"/>
                <w:szCs w:val="20"/>
                <w:lang w:val="de-DE"/>
              </w:rPr>
            </w:pPr>
            <w:r w:rsidRPr="00E167AC">
              <w:rPr>
                <w:rFonts w:asciiTheme="majorHAnsi" w:hAnsiTheme="majorHAnsi" w:cstheme="majorHAnsi"/>
                <w:sz w:val="20"/>
                <w:szCs w:val="20"/>
                <w:lang w:val="de-DE"/>
              </w:rPr>
              <w:t xml:space="preserve">Ein Bereich, in dem im Normalbetrieb eine gefährliche explosionsfähige </w:t>
            </w:r>
            <w:r w:rsidR="00D123F8">
              <w:rPr>
                <w:rFonts w:asciiTheme="majorHAnsi" w:hAnsiTheme="majorHAnsi" w:cstheme="majorHAnsi"/>
                <w:sz w:val="20"/>
                <w:szCs w:val="20"/>
                <w:lang w:val="de-DE"/>
              </w:rPr>
              <w:t>A</w:t>
            </w:r>
            <w:bookmarkStart w:id="1" w:name="_GoBack"/>
            <w:bookmarkEnd w:id="1"/>
            <w:r w:rsidRPr="00E167AC">
              <w:rPr>
                <w:rFonts w:asciiTheme="majorHAnsi" w:hAnsiTheme="majorHAnsi" w:cstheme="majorHAnsi"/>
                <w:sz w:val="20"/>
                <w:szCs w:val="20"/>
                <w:lang w:val="de-DE"/>
              </w:rPr>
              <w:t>tmosphäre als Gemisch aus Luft und brennbaren Stoffen  normalerweise nicht auftritt und, wenn doch, dann nur selten und für kurze Zeit.</w:t>
            </w:r>
          </w:p>
        </w:tc>
        <w:tc>
          <w:tcPr>
            <w:tcW w:w="5103" w:type="dxa"/>
            <w:shd w:val="clear" w:color="auto" w:fill="E0E1E3"/>
          </w:tcPr>
          <w:p w:rsidR="009B4592" w:rsidRPr="00E167AC" w:rsidRDefault="00552F5A" w:rsidP="00552F5A">
            <w:pPr>
              <w:adjustRightInd w:val="0"/>
              <w:spacing w:before="0" w:after="0" w:line="240" w:lineRule="auto"/>
              <w:rPr>
                <w:rFonts w:asciiTheme="majorHAnsi" w:hAnsiTheme="majorHAnsi" w:cstheme="majorHAnsi"/>
                <w:sz w:val="20"/>
                <w:szCs w:val="20"/>
                <w:lang w:val="de-DE"/>
              </w:rPr>
            </w:pPr>
            <w:r w:rsidRPr="00E167AC">
              <w:rPr>
                <w:rFonts w:asciiTheme="majorHAnsi" w:hAnsiTheme="majorHAnsi" w:cstheme="majorHAnsi"/>
                <w:sz w:val="20"/>
                <w:szCs w:val="20"/>
                <w:lang w:val="de-DE"/>
              </w:rPr>
              <w:t>Bereiche um Rohrleitungen in geschlossenen Räumen, die technisch dicht sind, Bereiche, die die Zonen 0 oder 1 umgeben, oder Bereiche, in denen Staubablagerungen zu erwarten sind, die aber regelmäßig beseitigt werden, oder in denen aufgrund einer Vielzahl von Freisetzungsquellen Staubablagerungen vorhanden sind.</w:t>
            </w:r>
          </w:p>
        </w:tc>
      </w:tr>
    </w:tbl>
    <w:p w:rsidR="00811147" w:rsidRDefault="00811147" w:rsidP="00811147">
      <w:pPr>
        <w:pStyle w:val="Textkrper"/>
        <w:spacing w:before="1"/>
        <w:rPr>
          <w:sz w:val="9"/>
        </w:rPr>
      </w:pPr>
    </w:p>
    <w:sectPr w:rsidR="00811147" w:rsidSect="00A4461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417" w:right="1417" w:bottom="1417" w:left="1134"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90C" w:rsidRDefault="005B790C" w:rsidP="008B0457">
      <w:pPr>
        <w:spacing w:line="240" w:lineRule="auto"/>
      </w:pPr>
      <w:r>
        <w:separator/>
      </w:r>
    </w:p>
  </w:endnote>
  <w:endnote w:type="continuationSeparator" w:id="0">
    <w:p w:rsidR="005B790C" w:rsidRDefault="005B790C"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7 Light Cn">
    <w:panose1 w:val="00000000000000000000"/>
    <w:charset w:val="00"/>
    <w:family w:val="swiss"/>
    <w:notTrueType/>
    <w:pitch w:val="variable"/>
    <w:sig w:usb0="800000AF" w:usb1="4000204A" w:usb2="00000000" w:usb3="00000000" w:csb0="00000001" w:csb1="00000000"/>
  </w:font>
  <w:font w:name="Frutiger LT Std 57 Cn">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F5A" w:rsidRDefault="00552F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655CD5B5" wp14:editId="5868FADF">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2019 </w:t>
    </w:r>
    <w:proofErr w:type="spellStart"/>
    <w:r w:rsidR="00C67D68" w:rsidRPr="00811147">
      <w:rPr>
        <w:rFonts w:asciiTheme="majorHAnsi" w:hAnsiTheme="majorHAnsi" w:cstheme="majorHAnsi"/>
        <w:sz w:val="18"/>
        <w:lang w:bidi="de-DE"/>
      </w:rPr>
      <w:t>Safety</w:t>
    </w:r>
    <w:proofErr w:type="spellEnd"/>
    <w:r w:rsidR="00C67D68" w:rsidRPr="00811147">
      <w:rPr>
        <w:rFonts w:asciiTheme="majorHAnsi" w:hAnsiTheme="majorHAnsi" w:cstheme="majorHAnsi"/>
        <w:sz w:val="18"/>
        <w:lang w:bidi="de-DE"/>
      </w:rPr>
      <w:t xml:space="preserve"> Xperts, [</w:t>
    </w:r>
    <w:r w:rsidR="00FB103F">
      <w:rPr>
        <w:rFonts w:ascii="Calibri" w:hAnsi="Calibri" w:cs="Calibri"/>
      </w:rPr>
      <w:t>Sicherheit im Betrieb</w:t>
    </w:r>
    <w:r w:rsidR="00C67D68" w:rsidRPr="00811147">
      <w:rPr>
        <w:rFonts w:asciiTheme="majorHAnsi" w:hAnsiTheme="majorHAnsi" w:cstheme="majorHAnsi"/>
        <w:sz w:val="18"/>
        <w:lang w:bidi="de-DE"/>
      </w:rPr>
      <w:t>], [</w:t>
    </w:r>
    <w:r w:rsidR="00552F5A">
      <w:rPr>
        <w:rFonts w:asciiTheme="majorHAnsi" w:hAnsiTheme="majorHAnsi" w:cstheme="majorHAnsi"/>
        <w:sz w:val="18"/>
        <w:lang w:bidi="de-DE"/>
      </w:rPr>
      <w:t>Gabriele Janssen</w:t>
    </w:r>
    <w:r w:rsidR="00C67D68" w:rsidRPr="00811147">
      <w:rPr>
        <w:rFonts w:asciiTheme="majorHAnsi" w:hAnsiTheme="majorHAnsi" w:cstheme="majorHAnsi"/>
        <w:sz w:val="18"/>
        <w:lang w:bidi="de-DE"/>
      </w:rPr>
      <w:t>]</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F5A" w:rsidRDefault="00552F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90C" w:rsidRDefault="005B790C" w:rsidP="008B0457">
      <w:pPr>
        <w:spacing w:line="240" w:lineRule="auto"/>
      </w:pPr>
      <w:r>
        <w:separator/>
      </w:r>
    </w:p>
  </w:footnote>
  <w:footnote w:type="continuationSeparator" w:id="0">
    <w:p w:rsidR="005B790C" w:rsidRDefault="005B790C"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F5A" w:rsidRDefault="00552F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D68" w:rsidRDefault="00C67D68">
    <w:pPr>
      <w:pStyle w:val="Kopfzeile"/>
    </w:pPr>
    <w:r w:rsidRPr="00C67D68">
      <w:rPr>
        <w:noProof/>
        <w:color w:val="4A4A4B"/>
        <w:sz w:val="20"/>
      </w:rPr>
      <mc:AlternateContent>
        <mc:Choice Requires="wps">
          <w:drawing>
            <wp:anchor distT="0" distB="0" distL="114300" distR="114300" simplePos="0" relativeHeight="251661312" behindDoc="1" locked="1" layoutInCell="1" allowOverlap="1" wp14:anchorId="09B70DB5" wp14:editId="4E95811A">
              <wp:simplePos x="0" y="0"/>
              <wp:positionH relativeFrom="page">
                <wp:align>right</wp:align>
              </wp:positionH>
              <wp:positionV relativeFrom="page">
                <wp:align>top</wp:align>
              </wp:positionV>
              <wp:extent cx="609600" cy="110109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110109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16DA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3.2pt;margin-top:0;width:48pt;height:867pt;rotation:-90;flip:y;z-index:-2516551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" fillcolor="#009fe4" stroked="f">
              <v:textbox inset=",7.2pt,,7.2pt"/>
              <w10:wrap anchorx="page" anchory="page"/>
              <w10:anchorlock/>
            </v:shape>
          </w:pict>
        </mc:Fallback>
      </mc:AlternateContent>
    </w: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266700</wp:posOffset>
          </wp:positionV>
          <wp:extent cx="2406650" cy="570865"/>
          <wp:effectExtent l="0" t="0" r="0" b="635"/>
          <wp:wrapThrough wrapText="bothSides">
            <wp:wrapPolygon edited="0">
              <wp:start x="513" y="0"/>
              <wp:lineTo x="0" y="2162"/>
              <wp:lineTo x="0" y="14416"/>
              <wp:lineTo x="513" y="20903"/>
              <wp:lineTo x="855" y="20903"/>
              <wp:lineTo x="2736" y="20903"/>
              <wp:lineTo x="21372" y="16578"/>
              <wp:lineTo x="21372" y="4325"/>
              <wp:lineTo x="2394" y="0"/>
              <wp:lineTo x="513" y="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F5A" w:rsidRDefault="00552F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68"/>
    <w:rsid w:val="0003156E"/>
    <w:rsid w:val="001421CE"/>
    <w:rsid w:val="00181F90"/>
    <w:rsid w:val="00194FA3"/>
    <w:rsid w:val="001A35F0"/>
    <w:rsid w:val="001A7584"/>
    <w:rsid w:val="002A0996"/>
    <w:rsid w:val="002B1C90"/>
    <w:rsid w:val="002D5565"/>
    <w:rsid w:val="003A77CE"/>
    <w:rsid w:val="003C49EA"/>
    <w:rsid w:val="00552F5A"/>
    <w:rsid w:val="00585E82"/>
    <w:rsid w:val="005A5989"/>
    <w:rsid w:val="005B790C"/>
    <w:rsid w:val="006259A1"/>
    <w:rsid w:val="00675F78"/>
    <w:rsid w:val="006C0196"/>
    <w:rsid w:val="006C0AED"/>
    <w:rsid w:val="006C27EC"/>
    <w:rsid w:val="006C444D"/>
    <w:rsid w:val="0081053B"/>
    <w:rsid w:val="00811147"/>
    <w:rsid w:val="0082717C"/>
    <w:rsid w:val="008B0457"/>
    <w:rsid w:val="009A29F0"/>
    <w:rsid w:val="009B4592"/>
    <w:rsid w:val="00A27BBA"/>
    <w:rsid w:val="00A34118"/>
    <w:rsid w:val="00A44616"/>
    <w:rsid w:val="00AD2609"/>
    <w:rsid w:val="00AE53AB"/>
    <w:rsid w:val="00B04DF0"/>
    <w:rsid w:val="00B11398"/>
    <w:rsid w:val="00B27F29"/>
    <w:rsid w:val="00B41020"/>
    <w:rsid w:val="00B55E3C"/>
    <w:rsid w:val="00B734EF"/>
    <w:rsid w:val="00B75C23"/>
    <w:rsid w:val="00B80F1F"/>
    <w:rsid w:val="00BA4C26"/>
    <w:rsid w:val="00BB5447"/>
    <w:rsid w:val="00C47191"/>
    <w:rsid w:val="00C67D68"/>
    <w:rsid w:val="00CE4022"/>
    <w:rsid w:val="00D00296"/>
    <w:rsid w:val="00D123F8"/>
    <w:rsid w:val="00D141B9"/>
    <w:rsid w:val="00D41208"/>
    <w:rsid w:val="00E167AC"/>
    <w:rsid w:val="00E42E27"/>
    <w:rsid w:val="00E71676"/>
    <w:rsid w:val="00EE14B4"/>
    <w:rsid w:val="00F06AF6"/>
    <w:rsid w:val="00F278F3"/>
    <w:rsid w:val="00F5564F"/>
    <w:rsid w:val="00F6243E"/>
    <w:rsid w:val="00F93095"/>
    <w:rsid w:val="00FA0816"/>
    <w:rsid w:val="00FB103F"/>
    <w:rsid w:val="00FB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E5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Pa7">
    <w:name w:val="Pa7"/>
    <w:basedOn w:val="Standard"/>
    <w:next w:val="Standard"/>
    <w:uiPriority w:val="99"/>
    <w:rsid w:val="0082717C"/>
    <w:pPr>
      <w:autoSpaceDE w:val="0"/>
      <w:autoSpaceDN w:val="0"/>
      <w:adjustRightInd w:val="0"/>
      <w:spacing w:before="0" w:after="0" w:line="201" w:lineRule="atLeast"/>
    </w:pPr>
    <w:rPr>
      <w:rFonts w:ascii="Frutiger LT Std 47 Light Cn" w:eastAsiaTheme="minorHAnsi" w:hAnsi="Frutiger LT Std 47 Light Cn" w:cstheme="minorBidi"/>
      <w:sz w:val="24"/>
      <w:szCs w:val="24"/>
    </w:rPr>
  </w:style>
  <w:style w:type="character" w:customStyle="1" w:styleId="A4">
    <w:name w:val="A4"/>
    <w:uiPriority w:val="99"/>
    <w:rsid w:val="0082717C"/>
    <w:rPr>
      <w:rFonts w:ascii="Frutiger LT Std 57 Cn" w:hAnsi="Frutiger LT Std 57 Cn" w:cs="Frutiger LT Std 57 Cn"/>
      <w:color w:val="221E1F"/>
      <w:sz w:val="18"/>
      <w:szCs w:val="18"/>
    </w:rPr>
  </w:style>
  <w:style w:type="paragraph" w:customStyle="1" w:styleId="Default">
    <w:name w:val="Default"/>
    <w:rsid w:val="00B41020"/>
    <w:pPr>
      <w:autoSpaceDE w:val="0"/>
      <w:autoSpaceDN w:val="0"/>
      <w:adjustRightInd w:val="0"/>
      <w:spacing w:line="240" w:lineRule="auto"/>
    </w:pPr>
    <w:rPr>
      <w:rFonts w:ascii="Frutiger LT Std 57 Cn" w:eastAsiaTheme="minorHAnsi" w:hAnsi="Frutiger LT Std 57 Cn" w:cs="Frutiger LT Std 57 Cn"/>
      <w:color w:val="000000"/>
      <w:sz w:val="24"/>
      <w:szCs w:val="24"/>
    </w:rPr>
  </w:style>
  <w:style w:type="character" w:customStyle="1" w:styleId="A7">
    <w:name w:val="A7"/>
    <w:uiPriority w:val="99"/>
    <w:rsid w:val="00B41020"/>
    <w:rPr>
      <w:rFonts w:cs="Frutiger LT Std 57 Cn"/>
      <w:color w:val="211D1E"/>
      <w:sz w:val="16"/>
      <w:szCs w:val="16"/>
    </w:rPr>
  </w:style>
  <w:style w:type="paragraph" w:customStyle="1" w:styleId="Pa6">
    <w:name w:val="Pa6"/>
    <w:basedOn w:val="Default"/>
    <w:next w:val="Default"/>
    <w:uiPriority w:val="99"/>
    <w:rsid w:val="009B4592"/>
    <w:pPr>
      <w:spacing w:line="201" w:lineRule="atLeast"/>
    </w:pPr>
    <w:rPr>
      <w:rFonts w:ascii="Frutiger LT Std 47 Light Cn" w:hAnsi="Frutiger LT Std 47 Light C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977B4-CA4C-4D04-8724-67635B1F8B0D}">
  <ds:schemaRefs>
    <ds:schemaRef ds:uri="http://schemas.microsoft.com/office/infopath/2007/PartnerControls"/>
    <ds:schemaRef ds:uri="fb0879af-3eba-417a-a55a-ffe6dcd6ca77"/>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6dc4bcd6-49db-4c07-9060-8acfc67cef9f"/>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4997A65B-62E7-41D1-AD2B-A1B0DB68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1</Pages>
  <Words>316</Words>
  <Characters>1996</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2019-07-05T08:05:00Z</dcterms:created>
  <dcterms:modified xsi:type="dcterms:W3CDTF">2019-07-05T08:05:00Z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