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47" w:rsidRDefault="009D5BE4" w:rsidP="00811147">
      <w:pPr>
        <w:spacing w:before="95"/>
        <w:ind w:left="105"/>
        <w:rPr>
          <w:sz w:val="16"/>
        </w:rPr>
      </w:pPr>
      <w:r>
        <w:rPr>
          <w:rFonts w:ascii="Arial" w:hAnsi="Arial"/>
          <w:b/>
          <w:caps/>
          <w:color w:val="009FE4"/>
          <w:sz w:val="32"/>
          <w:szCs w:val="40"/>
          <w:lang w:bidi="de-DE"/>
        </w:rPr>
        <w:t xml:space="preserve">Muster: </w:t>
      </w:r>
      <w:bookmarkStart w:id="0" w:name="_GoBack"/>
      <w:bookmarkEnd w:id="0"/>
      <w:r w:rsidR="00866734">
        <w:rPr>
          <w:rFonts w:ascii="Arial" w:hAnsi="Arial"/>
          <w:b/>
          <w:caps/>
          <w:color w:val="009FE4"/>
          <w:sz w:val="32"/>
          <w:szCs w:val="40"/>
          <w:lang w:bidi="de-DE"/>
        </w:rPr>
        <w:t>Verfahrensanweisungen zum Umgang mit infektiösen Patient/-innen (multiresistente Erreger, mrsa, 3mrgn, 4 mrgn)</w:t>
      </w:r>
      <w:r w:rsidR="002A0996" w:rsidRPr="00B11398">
        <w:rPr>
          <w:lang w:bidi="de-DE"/>
        </w:rPr>
        <w:tab/>
      </w:r>
    </w:p>
    <w:p w:rsidR="00811147" w:rsidRDefault="00811147" w:rsidP="00811147">
      <w:pPr>
        <w:pStyle w:val="Textkrper"/>
        <w:spacing w:before="1"/>
        <w:rPr>
          <w:sz w:val="9"/>
        </w:rPr>
      </w:pPr>
    </w:p>
    <w:tbl>
      <w:tblPr>
        <w:tblStyle w:val="TableNormal"/>
        <w:tblW w:w="87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0"/>
        <w:gridCol w:w="3939"/>
        <w:gridCol w:w="4678"/>
        <w:gridCol w:w="56"/>
      </w:tblGrid>
      <w:tr w:rsidR="00811147" w:rsidRPr="005A5989" w:rsidTr="002F2614">
        <w:trPr>
          <w:trHeight w:val="439"/>
        </w:trPr>
        <w:tc>
          <w:tcPr>
            <w:tcW w:w="3969" w:type="dxa"/>
            <w:gridSpan w:val="2"/>
            <w:vMerge w:val="restart"/>
            <w:tcBorders>
              <w:top w:val="nil"/>
              <w:left w:val="nil"/>
            </w:tcBorders>
            <w:shd w:val="clear" w:color="auto" w:fill="4A4A4B"/>
          </w:tcPr>
          <w:p w:rsidR="00811147" w:rsidRPr="005A5989" w:rsidRDefault="00811147" w:rsidP="00811147">
            <w:pPr>
              <w:pStyle w:val="TableParagraph"/>
              <w:spacing w:before="43"/>
              <w:ind w:left="56"/>
              <w:rPr>
                <w:b/>
                <w:sz w:val="20"/>
                <w:lang w:val="de-DE"/>
              </w:rPr>
            </w:pPr>
            <w:r w:rsidRPr="005A5989">
              <w:rPr>
                <w:b/>
                <w:color w:val="FFFFFF"/>
                <w:sz w:val="20"/>
                <w:lang w:val="de-DE"/>
              </w:rPr>
              <w:t>Prüfpunkt</w:t>
            </w:r>
          </w:p>
        </w:tc>
        <w:tc>
          <w:tcPr>
            <w:tcW w:w="4734" w:type="dxa"/>
            <w:gridSpan w:val="2"/>
            <w:tcBorders>
              <w:top w:val="nil"/>
              <w:bottom w:val="nil"/>
              <w:right w:val="nil"/>
            </w:tcBorders>
            <w:shd w:val="clear" w:color="auto" w:fill="4A4A4B"/>
          </w:tcPr>
          <w:p w:rsidR="00811147" w:rsidRPr="005A5989" w:rsidRDefault="00811147" w:rsidP="0068358E">
            <w:pPr>
              <w:pStyle w:val="TableParagraph"/>
              <w:spacing w:before="43"/>
              <w:ind w:left="164"/>
              <w:rPr>
                <w:b/>
                <w:sz w:val="20"/>
                <w:lang w:val="de-DE"/>
              </w:rPr>
            </w:pPr>
          </w:p>
        </w:tc>
      </w:tr>
      <w:tr w:rsidR="00811147" w:rsidRPr="005A5989" w:rsidTr="002F2614">
        <w:trPr>
          <w:trHeight w:val="426"/>
        </w:trPr>
        <w:tc>
          <w:tcPr>
            <w:tcW w:w="3969" w:type="dxa"/>
            <w:gridSpan w:val="2"/>
            <w:vMerge/>
            <w:tcBorders>
              <w:top w:val="nil"/>
              <w:left w:val="nil"/>
            </w:tcBorders>
            <w:shd w:val="clear" w:color="auto" w:fill="4A4A4B"/>
          </w:tcPr>
          <w:p w:rsidR="00811147" w:rsidRPr="005A5989" w:rsidRDefault="00811147" w:rsidP="0068358E">
            <w:pPr>
              <w:rPr>
                <w:sz w:val="2"/>
                <w:szCs w:val="2"/>
                <w:lang w:val="de-DE"/>
              </w:rPr>
            </w:pPr>
          </w:p>
        </w:tc>
        <w:tc>
          <w:tcPr>
            <w:tcW w:w="4678" w:type="dxa"/>
            <w:tcBorders>
              <w:top w:val="nil"/>
            </w:tcBorders>
            <w:shd w:val="clear" w:color="auto" w:fill="4A4A4B"/>
            <w:vAlign w:val="center"/>
          </w:tcPr>
          <w:p w:rsidR="00811147" w:rsidRPr="005A5989" w:rsidRDefault="00811147" w:rsidP="005A5989">
            <w:pPr>
              <w:pStyle w:val="TableParagraph"/>
              <w:spacing w:before="33"/>
              <w:ind w:left="47"/>
              <w:jc w:val="center"/>
              <w:rPr>
                <w:b/>
                <w:sz w:val="20"/>
                <w:lang w:val="de-DE"/>
              </w:rPr>
            </w:pPr>
          </w:p>
        </w:tc>
        <w:tc>
          <w:tcPr>
            <w:tcW w:w="56" w:type="dxa"/>
            <w:tcBorders>
              <w:top w:val="nil"/>
              <w:right w:val="nil"/>
            </w:tcBorders>
            <w:shd w:val="clear" w:color="auto" w:fill="4A4A4B"/>
            <w:vAlign w:val="center"/>
          </w:tcPr>
          <w:p w:rsidR="00811147" w:rsidRPr="005A5989" w:rsidRDefault="00811147" w:rsidP="005A5989">
            <w:pPr>
              <w:pStyle w:val="TableParagraph"/>
              <w:spacing w:before="33"/>
              <w:ind w:left="47"/>
              <w:jc w:val="center"/>
              <w:rPr>
                <w:b/>
                <w:sz w:val="20"/>
                <w:lang w:val="de-DE"/>
              </w:rPr>
            </w:pPr>
          </w:p>
        </w:tc>
      </w:tr>
      <w:tr w:rsidR="00811147" w:rsidRPr="005A5989" w:rsidTr="002F2614">
        <w:trPr>
          <w:trHeight w:val="2007"/>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5A5989" w:rsidRDefault="00866734" w:rsidP="0068358E">
            <w:pPr>
              <w:pStyle w:val="TableParagraph"/>
              <w:spacing w:before="3" w:line="254" w:lineRule="auto"/>
              <w:ind w:left="47" w:right="4"/>
              <w:rPr>
                <w:sz w:val="20"/>
                <w:lang w:val="de-DE"/>
              </w:rPr>
            </w:pPr>
            <w:r w:rsidRPr="00866734">
              <w:rPr>
                <w:b/>
                <w:sz w:val="20"/>
                <w:lang w:val="de-DE"/>
              </w:rPr>
              <w:t>Organisatorische Maßnahmen für den Praxisalltag</w:t>
            </w:r>
            <w:r>
              <w:rPr>
                <w:sz w:val="20"/>
                <w:lang w:val="de-DE"/>
              </w:rPr>
              <w:br/>
              <w:t xml:space="preserve">Träger multiresistenter Keime werden nicht ins Wartezimmer gesetzt, sondern sofort in den Untersuchungsraum gebracht. Eine Terminvereinbarung erfolgt am Tagesende. Im Untersuchungsraum wird nur der jeweilige Bedarf an Verbrauchsmaterial hergerichtet. Nach Benutzung der Patiententoilette wird eine Wischdesinfektion der Kontaktflächen (Toilettenbrille, Armaturen am Waschbecken) durchgeführt. </w:t>
            </w:r>
          </w:p>
        </w:tc>
        <w:tc>
          <w:tcPr>
            <w:tcW w:w="4678" w:type="dxa"/>
            <w:shd w:val="clear" w:color="auto" w:fill="E0E1E3"/>
            <w:vAlign w:val="center"/>
          </w:tcPr>
          <w:p w:rsidR="00811147" w:rsidRPr="005A5989" w:rsidRDefault="00811147" w:rsidP="005A5989">
            <w:pPr>
              <w:pStyle w:val="TableParagraph"/>
              <w:jc w:val="center"/>
              <w:rPr>
                <w:rFonts w:ascii="Times"/>
                <w:color w:val="009FE4"/>
                <w:sz w:val="20"/>
                <w:lang w:val="de-DE"/>
              </w:rPr>
            </w:pPr>
          </w:p>
        </w:tc>
        <w:tc>
          <w:tcPr>
            <w:tcW w:w="56" w:type="dxa"/>
            <w:tcBorders>
              <w:right w:val="nil"/>
            </w:tcBorders>
            <w:shd w:val="clear" w:color="auto" w:fill="E0E1E3"/>
            <w:vAlign w:val="center"/>
          </w:tcPr>
          <w:p w:rsidR="00811147" w:rsidRPr="005A5989" w:rsidRDefault="00811147" w:rsidP="005A5989">
            <w:pPr>
              <w:pStyle w:val="TableParagraph"/>
              <w:jc w:val="center"/>
              <w:rPr>
                <w:rFonts w:ascii="Times"/>
                <w:sz w:val="20"/>
                <w:lang w:val="de-DE"/>
              </w:rPr>
            </w:pPr>
          </w:p>
        </w:tc>
      </w:tr>
      <w:tr w:rsidR="00811147" w:rsidRPr="005A5989" w:rsidTr="002F2614">
        <w:trPr>
          <w:trHeight w:val="316"/>
        </w:trPr>
        <w:tc>
          <w:tcPr>
            <w:tcW w:w="30" w:type="dxa"/>
            <w:tcBorders>
              <w:left w:val="nil"/>
            </w:tcBorders>
            <w:shd w:val="clear" w:color="auto" w:fill="E0E1E3"/>
          </w:tcPr>
          <w:p w:rsidR="00811147" w:rsidRPr="005A5989" w:rsidRDefault="00866734" w:rsidP="0068358E">
            <w:pPr>
              <w:pStyle w:val="TableParagraph"/>
              <w:spacing w:before="3"/>
              <w:ind w:right="46"/>
              <w:jc w:val="right"/>
              <w:rPr>
                <w:sz w:val="20"/>
                <w:lang w:val="de-DE"/>
              </w:rPr>
            </w:pPr>
            <w:r>
              <w:rPr>
                <w:sz w:val="20"/>
                <w:lang w:val="de-DE"/>
              </w:rPr>
              <w:t>M</w:t>
            </w:r>
          </w:p>
        </w:tc>
        <w:tc>
          <w:tcPr>
            <w:tcW w:w="3939" w:type="dxa"/>
            <w:shd w:val="clear" w:color="auto" w:fill="E0E1E3"/>
          </w:tcPr>
          <w:p w:rsidR="00811147" w:rsidRPr="00866734" w:rsidRDefault="00866734" w:rsidP="0068358E">
            <w:pPr>
              <w:pStyle w:val="TableParagraph"/>
              <w:spacing w:before="3"/>
              <w:ind w:left="47"/>
              <w:rPr>
                <w:b/>
                <w:sz w:val="20"/>
                <w:lang w:val="de-DE"/>
              </w:rPr>
            </w:pPr>
            <w:r w:rsidRPr="00866734">
              <w:rPr>
                <w:b/>
                <w:sz w:val="20"/>
                <w:lang w:val="de-DE"/>
              </w:rPr>
              <w:t>Maßnahmen für den Umgang mit infektiösen Trägern</w:t>
            </w:r>
          </w:p>
          <w:p w:rsidR="00866734" w:rsidRPr="00866734" w:rsidRDefault="00866734" w:rsidP="0068358E">
            <w:pPr>
              <w:pStyle w:val="TableParagraph"/>
              <w:spacing w:before="3"/>
              <w:ind w:left="47"/>
              <w:rPr>
                <w:sz w:val="20"/>
                <w:lang w:val="de-DE"/>
              </w:rPr>
            </w:pPr>
            <w:r w:rsidRPr="00866734">
              <w:rPr>
                <w:sz w:val="20"/>
                <w:lang w:val="de-DE"/>
              </w:rPr>
              <w:t>Für den Aufenthalt von Patienten mit MRSA-Bakterium, 3MRGN-Keimträgerschaft sind in der Praxis bei deren Untersuchung und Behandlung folgende Maßgaben zu beachten:</w:t>
            </w:r>
          </w:p>
        </w:tc>
        <w:tc>
          <w:tcPr>
            <w:tcW w:w="4678" w:type="dxa"/>
            <w:shd w:val="clear" w:color="auto" w:fill="E0E1E3"/>
            <w:vAlign w:val="center"/>
          </w:tcPr>
          <w:p w:rsidR="00811147" w:rsidRPr="005A5989" w:rsidRDefault="00811147" w:rsidP="005A5989">
            <w:pPr>
              <w:pStyle w:val="TableParagraph"/>
              <w:jc w:val="center"/>
              <w:rPr>
                <w:rFonts w:ascii="Times"/>
                <w:sz w:val="20"/>
                <w:lang w:val="de-DE"/>
              </w:rPr>
            </w:pPr>
          </w:p>
        </w:tc>
        <w:tc>
          <w:tcPr>
            <w:tcW w:w="56" w:type="dxa"/>
            <w:tcBorders>
              <w:right w:val="nil"/>
            </w:tcBorders>
            <w:shd w:val="clear" w:color="auto" w:fill="E0E1E3"/>
            <w:vAlign w:val="center"/>
          </w:tcPr>
          <w:p w:rsidR="00811147" w:rsidRPr="005A5989" w:rsidRDefault="00811147" w:rsidP="005A5989">
            <w:pPr>
              <w:pStyle w:val="TableParagraph"/>
              <w:jc w:val="center"/>
              <w:rPr>
                <w:rFonts w:ascii="Times"/>
                <w:sz w:val="20"/>
                <w:lang w:val="de-DE"/>
              </w:rPr>
            </w:pPr>
          </w:p>
        </w:tc>
      </w:tr>
      <w:tr w:rsidR="00811147" w:rsidRPr="00060774" w:rsidTr="002F2614">
        <w:trPr>
          <w:trHeight w:val="316"/>
        </w:trPr>
        <w:tc>
          <w:tcPr>
            <w:tcW w:w="30" w:type="dxa"/>
            <w:tcBorders>
              <w:left w:val="nil"/>
            </w:tcBorders>
            <w:shd w:val="clear" w:color="auto" w:fill="E0E1E3"/>
          </w:tcPr>
          <w:p w:rsidR="00811147" w:rsidRPr="00060774" w:rsidRDefault="00811147" w:rsidP="0068358E">
            <w:pPr>
              <w:pStyle w:val="TableParagraph"/>
              <w:spacing w:before="3"/>
              <w:ind w:right="46"/>
              <w:jc w:val="right"/>
              <w:rPr>
                <w:sz w:val="20"/>
                <w:lang w:val="de-DE"/>
              </w:rPr>
            </w:pPr>
          </w:p>
        </w:tc>
        <w:tc>
          <w:tcPr>
            <w:tcW w:w="3939" w:type="dxa"/>
            <w:shd w:val="clear" w:color="auto" w:fill="E0E1E3"/>
          </w:tcPr>
          <w:p w:rsidR="00811147" w:rsidRPr="00060774" w:rsidRDefault="00060774" w:rsidP="0068358E">
            <w:pPr>
              <w:pStyle w:val="TableParagraph"/>
              <w:spacing w:before="3"/>
              <w:ind w:left="47"/>
              <w:rPr>
                <w:b/>
                <w:sz w:val="20"/>
                <w:lang w:val="de-DE"/>
              </w:rPr>
            </w:pPr>
            <w:r w:rsidRPr="00060774">
              <w:rPr>
                <w:b/>
                <w:sz w:val="20"/>
                <w:lang w:val="de-DE"/>
              </w:rPr>
              <w:t>Händehygiene:</w:t>
            </w:r>
          </w:p>
        </w:tc>
        <w:tc>
          <w:tcPr>
            <w:tcW w:w="4678" w:type="dxa"/>
            <w:shd w:val="clear" w:color="auto" w:fill="E0E1E3"/>
            <w:vAlign w:val="center"/>
          </w:tcPr>
          <w:p w:rsidR="00811147" w:rsidRDefault="00060774" w:rsidP="00060774">
            <w:pPr>
              <w:pStyle w:val="TableParagraph"/>
              <w:numPr>
                <w:ilvl w:val="0"/>
                <w:numId w:val="8"/>
              </w:numPr>
              <w:rPr>
                <w:sz w:val="20"/>
                <w:lang w:val="de-DE"/>
              </w:rPr>
            </w:pPr>
            <w:r w:rsidRPr="00060774">
              <w:rPr>
                <w:sz w:val="20"/>
                <w:lang w:val="de-DE"/>
              </w:rPr>
              <w:t>Standard-/ Basishygiene</w:t>
            </w:r>
          </w:p>
          <w:p w:rsidR="00060774" w:rsidRDefault="00060774" w:rsidP="00060774">
            <w:pPr>
              <w:pStyle w:val="TableParagraph"/>
              <w:numPr>
                <w:ilvl w:val="0"/>
                <w:numId w:val="8"/>
              </w:numPr>
              <w:rPr>
                <w:sz w:val="20"/>
                <w:lang w:val="de-DE"/>
              </w:rPr>
            </w:pPr>
            <w:r>
              <w:rPr>
                <w:sz w:val="20"/>
                <w:lang w:val="de-DE"/>
              </w:rPr>
              <w:t>Händedesinfektion erfolgt mit Sterillium classic pure vor und nach direktem Kontakt mit Patienten</w:t>
            </w:r>
          </w:p>
          <w:p w:rsidR="00060774" w:rsidRDefault="00060774" w:rsidP="00060774">
            <w:pPr>
              <w:pStyle w:val="TableParagraph"/>
              <w:numPr>
                <w:ilvl w:val="0"/>
                <w:numId w:val="8"/>
              </w:numPr>
              <w:rPr>
                <w:sz w:val="20"/>
                <w:lang w:val="de-DE"/>
              </w:rPr>
            </w:pPr>
            <w:r>
              <w:rPr>
                <w:sz w:val="20"/>
                <w:lang w:val="de-DE"/>
              </w:rPr>
              <w:t>Nach Kontakt mit erregerhaltigem Material</w:t>
            </w:r>
          </w:p>
          <w:p w:rsidR="00060774" w:rsidRPr="00060774" w:rsidRDefault="00060774" w:rsidP="00060774">
            <w:pPr>
              <w:pStyle w:val="TableParagraph"/>
              <w:numPr>
                <w:ilvl w:val="0"/>
                <w:numId w:val="8"/>
              </w:numPr>
              <w:rPr>
                <w:sz w:val="20"/>
                <w:lang w:val="de-DE"/>
              </w:rPr>
            </w:pPr>
            <w:r>
              <w:rPr>
                <w:sz w:val="20"/>
                <w:lang w:val="de-DE"/>
              </w:rPr>
              <w:t>Nach Ablegen der Einmalhandschuhe</w:t>
            </w: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060774" w:rsidRDefault="00060774" w:rsidP="0068358E">
            <w:pPr>
              <w:pStyle w:val="TableParagraph"/>
              <w:spacing w:before="3"/>
              <w:ind w:left="47"/>
              <w:rPr>
                <w:b/>
                <w:sz w:val="20"/>
                <w:lang w:val="de-DE"/>
              </w:rPr>
            </w:pPr>
            <w:r w:rsidRPr="00060774">
              <w:rPr>
                <w:b/>
                <w:sz w:val="20"/>
                <w:lang w:val="de-DE"/>
              </w:rPr>
              <w:t>Schutzausrüstung:</w:t>
            </w:r>
          </w:p>
        </w:tc>
        <w:tc>
          <w:tcPr>
            <w:tcW w:w="4678" w:type="dxa"/>
            <w:shd w:val="clear" w:color="auto" w:fill="E0E1E3"/>
            <w:vAlign w:val="center"/>
          </w:tcPr>
          <w:p w:rsidR="00811147" w:rsidRDefault="00060774" w:rsidP="00060774">
            <w:pPr>
              <w:pStyle w:val="TableParagraph"/>
              <w:numPr>
                <w:ilvl w:val="0"/>
                <w:numId w:val="9"/>
              </w:numPr>
              <w:rPr>
                <w:sz w:val="20"/>
                <w:lang w:val="de-DE"/>
              </w:rPr>
            </w:pPr>
            <w:r>
              <w:rPr>
                <w:sz w:val="20"/>
                <w:lang w:val="de-DE"/>
              </w:rPr>
              <w:t>Bei Untersuchungsmaßnahmen werden Einmalhandschuhe und langärmelige Einmalschutzkittel getragen.</w:t>
            </w:r>
          </w:p>
          <w:p w:rsidR="00060774" w:rsidRPr="00060774" w:rsidRDefault="00060774" w:rsidP="00060774">
            <w:pPr>
              <w:pStyle w:val="TableParagraph"/>
              <w:numPr>
                <w:ilvl w:val="0"/>
                <w:numId w:val="9"/>
              </w:numPr>
              <w:rPr>
                <w:sz w:val="20"/>
                <w:lang w:val="de-DE"/>
              </w:rPr>
            </w:pPr>
            <w:r>
              <w:rPr>
                <w:sz w:val="20"/>
                <w:lang w:val="de-DE"/>
              </w:rPr>
              <w:t xml:space="preserve">Tragen eines Mund-Nasen-Schutzes bei der Versorgung von 4MRGN-Trägerinnen und bei nachgewiesener </w:t>
            </w:r>
            <w:proofErr w:type="spellStart"/>
            <w:r>
              <w:rPr>
                <w:sz w:val="20"/>
                <w:lang w:val="de-DE"/>
              </w:rPr>
              <w:t>nasophanyngealer</w:t>
            </w:r>
            <w:proofErr w:type="spellEnd"/>
            <w:r>
              <w:rPr>
                <w:sz w:val="20"/>
                <w:lang w:val="de-DE"/>
              </w:rPr>
              <w:t xml:space="preserve"> Besiedlung mit dem MRSA-Bakterium</w:t>
            </w: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2F2614" w:rsidRDefault="00060774" w:rsidP="0068358E">
            <w:pPr>
              <w:pStyle w:val="TableParagraph"/>
              <w:spacing w:before="3"/>
              <w:ind w:left="47"/>
              <w:rPr>
                <w:b/>
                <w:sz w:val="20"/>
                <w:lang w:val="de-DE"/>
              </w:rPr>
            </w:pPr>
            <w:r w:rsidRPr="002F2614">
              <w:rPr>
                <w:b/>
                <w:sz w:val="20"/>
                <w:lang w:val="de-DE"/>
              </w:rPr>
              <w:t>Behandlungs- und Untersuchungsmaterialien:</w:t>
            </w:r>
          </w:p>
        </w:tc>
        <w:tc>
          <w:tcPr>
            <w:tcW w:w="4678" w:type="dxa"/>
            <w:shd w:val="clear" w:color="auto" w:fill="E0E1E3"/>
            <w:vAlign w:val="center"/>
          </w:tcPr>
          <w:p w:rsidR="00811147" w:rsidRDefault="00060774" w:rsidP="00060774">
            <w:pPr>
              <w:pStyle w:val="TableParagraph"/>
              <w:numPr>
                <w:ilvl w:val="0"/>
                <w:numId w:val="10"/>
              </w:numPr>
              <w:rPr>
                <w:sz w:val="20"/>
                <w:lang w:val="de-DE"/>
              </w:rPr>
            </w:pPr>
            <w:r>
              <w:rPr>
                <w:sz w:val="20"/>
                <w:lang w:val="de-DE"/>
              </w:rPr>
              <w:t xml:space="preserve">Die Patientenliege wird mit der Auflage einer Papierrolle abgedeckt, diese wird anschließend sofort entsorgt; die Liege mittels Wischdesinfektion </w:t>
            </w:r>
            <w:proofErr w:type="gramStart"/>
            <w:r w:rsidR="002F2614">
              <w:rPr>
                <w:sz w:val="20"/>
                <w:lang w:val="de-DE"/>
              </w:rPr>
              <w:t>reinigen</w:t>
            </w:r>
            <w:proofErr w:type="gramEnd"/>
            <w:r>
              <w:rPr>
                <w:sz w:val="20"/>
                <w:lang w:val="de-DE"/>
              </w:rPr>
              <w:t>.</w:t>
            </w:r>
          </w:p>
          <w:p w:rsidR="00060774" w:rsidRPr="00060774" w:rsidRDefault="002F2614" w:rsidP="00060774">
            <w:pPr>
              <w:pStyle w:val="TableParagraph"/>
              <w:numPr>
                <w:ilvl w:val="0"/>
                <w:numId w:val="10"/>
              </w:numPr>
              <w:rPr>
                <w:sz w:val="20"/>
                <w:lang w:val="de-DE"/>
              </w:rPr>
            </w:pPr>
            <w:r>
              <w:rPr>
                <w:sz w:val="20"/>
                <w:lang w:val="de-DE"/>
              </w:rPr>
              <w:t xml:space="preserve">Medizinprodukte (wie z. B. Stethoskope, Patientenliegen, Untersuchungsstuhl) erfolgt mit </w:t>
            </w:r>
            <w:proofErr w:type="spellStart"/>
            <w:r>
              <w:rPr>
                <w:sz w:val="20"/>
                <w:lang w:val="de-DE"/>
              </w:rPr>
              <w:t>Meliseptol</w:t>
            </w:r>
            <w:proofErr w:type="spellEnd"/>
            <w:r>
              <w:rPr>
                <w:sz w:val="20"/>
                <w:lang w:val="de-DE"/>
              </w:rPr>
              <w:t xml:space="preserve"> rapid, Einwirkzeit 10 Minuten.</w:t>
            </w: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2F2614" w:rsidRDefault="002F2614" w:rsidP="0068358E">
            <w:pPr>
              <w:pStyle w:val="TableParagraph"/>
              <w:spacing w:before="3"/>
              <w:ind w:left="47"/>
              <w:rPr>
                <w:b/>
                <w:sz w:val="20"/>
                <w:lang w:val="de-DE"/>
              </w:rPr>
            </w:pPr>
            <w:r w:rsidRPr="002F2614">
              <w:rPr>
                <w:b/>
                <w:sz w:val="20"/>
                <w:lang w:val="de-DE"/>
              </w:rPr>
              <w:t>Abfallentsorgung:</w:t>
            </w:r>
          </w:p>
        </w:tc>
        <w:tc>
          <w:tcPr>
            <w:tcW w:w="4678" w:type="dxa"/>
            <w:shd w:val="clear" w:color="auto" w:fill="E0E1E3"/>
            <w:vAlign w:val="center"/>
          </w:tcPr>
          <w:p w:rsidR="00811147" w:rsidRPr="00060774" w:rsidRDefault="002F2614" w:rsidP="002F2614">
            <w:pPr>
              <w:pStyle w:val="TableParagraph"/>
              <w:numPr>
                <w:ilvl w:val="0"/>
                <w:numId w:val="11"/>
              </w:numPr>
              <w:rPr>
                <w:sz w:val="20"/>
                <w:lang w:val="de-DE"/>
              </w:rPr>
            </w:pPr>
            <w:r>
              <w:rPr>
                <w:sz w:val="20"/>
                <w:lang w:val="de-DE"/>
              </w:rPr>
              <w:t xml:space="preserve">Abfälle aus der Patientenbehandlung werden im geschlossenen Plastikbeutel in den Mülleimer abgeworfen und mit dem übrigen Praxismüll entsorgt. </w:t>
            </w: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5A5989" w:rsidRDefault="002F2614" w:rsidP="0068358E">
            <w:pPr>
              <w:pStyle w:val="TableParagraph"/>
              <w:spacing w:before="3"/>
              <w:ind w:left="47"/>
              <w:rPr>
                <w:sz w:val="20"/>
                <w:lang w:val="de-DE"/>
              </w:rPr>
            </w:pPr>
            <w:r>
              <w:rPr>
                <w:sz w:val="20"/>
                <w:lang w:val="de-DE"/>
              </w:rPr>
              <w:t>Autorisiert von:              Autor:</w:t>
            </w:r>
          </w:p>
        </w:tc>
        <w:tc>
          <w:tcPr>
            <w:tcW w:w="4678" w:type="dxa"/>
            <w:shd w:val="clear" w:color="auto" w:fill="E0E1E3"/>
            <w:vAlign w:val="center"/>
          </w:tcPr>
          <w:p w:rsidR="00811147" w:rsidRDefault="002F2614" w:rsidP="00060774">
            <w:pPr>
              <w:pStyle w:val="TableParagraph"/>
              <w:rPr>
                <w:sz w:val="20"/>
                <w:lang w:val="de-DE"/>
              </w:rPr>
            </w:pPr>
            <w:r>
              <w:rPr>
                <w:sz w:val="20"/>
                <w:lang w:val="de-DE"/>
              </w:rPr>
              <w:t xml:space="preserve">Gültig für:                                      Gültig bis: </w:t>
            </w:r>
          </w:p>
          <w:p w:rsidR="002F2614" w:rsidRPr="00060774" w:rsidRDefault="002F2614" w:rsidP="00060774">
            <w:pPr>
              <w:pStyle w:val="TableParagraph"/>
              <w:rPr>
                <w:sz w:val="20"/>
                <w:lang w:val="de-DE"/>
              </w:rPr>
            </w:pPr>
            <w:r>
              <w:rPr>
                <w:sz w:val="20"/>
                <w:lang w:val="de-DE"/>
              </w:rPr>
              <w:t xml:space="preserve">                                                      Überprüfung:</w:t>
            </w: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5A5989" w:rsidRDefault="00811147" w:rsidP="0068358E">
            <w:pPr>
              <w:pStyle w:val="TableParagraph"/>
              <w:spacing w:before="3"/>
              <w:ind w:right="46"/>
              <w:jc w:val="right"/>
              <w:rPr>
                <w:sz w:val="20"/>
                <w:lang w:val="de-DE"/>
              </w:rPr>
            </w:pPr>
          </w:p>
        </w:tc>
        <w:tc>
          <w:tcPr>
            <w:tcW w:w="3939" w:type="dxa"/>
            <w:shd w:val="clear" w:color="auto" w:fill="E0E1E3"/>
          </w:tcPr>
          <w:p w:rsidR="00811147" w:rsidRPr="005A5989" w:rsidRDefault="002F2614" w:rsidP="0068358E">
            <w:pPr>
              <w:pStyle w:val="TableParagraph"/>
              <w:spacing w:before="3"/>
              <w:ind w:left="47"/>
              <w:rPr>
                <w:sz w:val="20"/>
                <w:lang w:val="de-DE"/>
              </w:rPr>
            </w:pPr>
            <w:r>
              <w:rPr>
                <w:sz w:val="20"/>
                <w:lang w:val="de-DE"/>
              </w:rPr>
              <w:t>Stand:                         Hygieneplan Version: I</w:t>
            </w:r>
          </w:p>
        </w:tc>
        <w:tc>
          <w:tcPr>
            <w:tcW w:w="4678" w:type="dxa"/>
            <w:shd w:val="clear" w:color="auto" w:fill="E0E1E3"/>
            <w:vAlign w:val="center"/>
          </w:tcPr>
          <w:p w:rsidR="00811147" w:rsidRPr="00060774" w:rsidRDefault="00811147" w:rsidP="00060774">
            <w:pPr>
              <w:pStyle w:val="TableParagraph"/>
              <w:rPr>
                <w:sz w:val="20"/>
                <w:lang w:val="de-DE"/>
              </w:rPr>
            </w:pP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r w:rsidR="00811147" w:rsidRPr="00060774" w:rsidTr="002F2614">
        <w:trPr>
          <w:trHeight w:val="316"/>
        </w:trPr>
        <w:tc>
          <w:tcPr>
            <w:tcW w:w="30" w:type="dxa"/>
            <w:tcBorders>
              <w:left w:val="nil"/>
            </w:tcBorders>
            <w:shd w:val="clear" w:color="auto" w:fill="E0E1E3"/>
          </w:tcPr>
          <w:p w:rsidR="00811147" w:rsidRPr="00060774" w:rsidRDefault="00811147" w:rsidP="0068358E">
            <w:pPr>
              <w:pStyle w:val="TableParagraph"/>
              <w:rPr>
                <w:sz w:val="20"/>
                <w:lang w:val="de-DE"/>
              </w:rPr>
            </w:pPr>
          </w:p>
        </w:tc>
        <w:tc>
          <w:tcPr>
            <w:tcW w:w="3939" w:type="dxa"/>
            <w:shd w:val="clear" w:color="auto" w:fill="E0E1E3"/>
          </w:tcPr>
          <w:p w:rsidR="00811147" w:rsidRPr="005A5989" w:rsidRDefault="00811147" w:rsidP="0068358E">
            <w:pPr>
              <w:pStyle w:val="TableParagraph"/>
              <w:spacing w:before="3"/>
              <w:ind w:left="47"/>
              <w:rPr>
                <w:sz w:val="20"/>
                <w:lang w:val="de-DE"/>
              </w:rPr>
            </w:pPr>
          </w:p>
        </w:tc>
        <w:tc>
          <w:tcPr>
            <w:tcW w:w="4678" w:type="dxa"/>
            <w:shd w:val="clear" w:color="auto" w:fill="E0E1E3"/>
            <w:vAlign w:val="center"/>
          </w:tcPr>
          <w:p w:rsidR="00811147" w:rsidRPr="00060774" w:rsidRDefault="00811147" w:rsidP="00060774">
            <w:pPr>
              <w:pStyle w:val="TableParagraph"/>
              <w:rPr>
                <w:sz w:val="20"/>
                <w:lang w:val="de-DE"/>
              </w:rPr>
            </w:pPr>
          </w:p>
        </w:tc>
        <w:tc>
          <w:tcPr>
            <w:tcW w:w="56" w:type="dxa"/>
            <w:tcBorders>
              <w:right w:val="nil"/>
            </w:tcBorders>
            <w:shd w:val="clear" w:color="auto" w:fill="E0E1E3"/>
            <w:vAlign w:val="center"/>
          </w:tcPr>
          <w:p w:rsidR="00811147" w:rsidRPr="00060774" w:rsidRDefault="00811147" w:rsidP="005A5989">
            <w:pPr>
              <w:pStyle w:val="TableParagraph"/>
              <w:jc w:val="center"/>
              <w:rPr>
                <w:sz w:val="20"/>
                <w:lang w:val="de-DE"/>
              </w:rPr>
            </w:pPr>
          </w:p>
        </w:tc>
      </w:tr>
    </w:tbl>
    <w:p w:rsidR="006C27EC" w:rsidRPr="00060774" w:rsidRDefault="006C27EC" w:rsidP="002F2614">
      <w:pPr>
        <w:pStyle w:val="Checkliste"/>
        <w:ind w:left="0" w:firstLine="0"/>
        <w:rPr>
          <w:rFonts w:ascii="Arial" w:eastAsiaTheme="minorHAnsi" w:hAnsi="Arial" w:cstheme="minorBidi"/>
          <w:sz w:val="20"/>
          <w:lang w:eastAsia="de-DE" w:bidi="de-DE"/>
        </w:rPr>
      </w:pPr>
    </w:p>
    <w:sectPr w:rsidR="006C27EC" w:rsidRPr="00060774" w:rsidSect="00811147">
      <w:headerReference w:type="default" r:id="rId10"/>
      <w:footerReference w:type="default" r:id="rId11"/>
      <w:pgSz w:w="11906" w:h="16838" w:code="9"/>
      <w:pgMar w:top="1417"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D68" w:rsidRDefault="00C67D68" w:rsidP="008B0457">
      <w:pPr>
        <w:spacing w:line="240" w:lineRule="auto"/>
      </w:pPr>
      <w:r>
        <w:separator/>
      </w:r>
    </w:p>
  </w:endnote>
  <w:endnote w:type="continuationSeparator" w:id="0">
    <w:p w:rsidR="00C67D68" w:rsidRDefault="00C67D68"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90" w:rsidRPr="00811147" w:rsidRDefault="00AD2609" w:rsidP="00C67D68">
    <w:pPr>
      <w:pStyle w:val="Fuzeile"/>
      <w:ind w:firstLine="720"/>
      <w:rPr>
        <w:rFonts w:asciiTheme="majorHAnsi" w:hAnsiTheme="majorHAnsi" w:cstheme="majorHAnsi"/>
        <w:noProof/>
        <w:sz w:val="16"/>
        <w:lang w:bidi="de-DE"/>
      </w:rPr>
    </w:pPr>
    <w:r w:rsidRPr="00811147">
      <w:rPr>
        <w:rFonts w:asciiTheme="majorHAnsi" w:hAnsiTheme="majorHAnsi" w:cstheme="majorHAnsi"/>
        <w:noProof/>
        <w:sz w:val="18"/>
      </w:rPr>
      <mc:AlternateContent>
        <mc:Choice Requires="wps">
          <w:drawing>
            <wp:anchor distT="0" distB="0" distL="114300" distR="114300" simplePos="0" relativeHeight="251658240" behindDoc="1" locked="1" layoutInCell="1" allowOverlap="1" wp14:anchorId="655CD5B5" wp14:editId="5868FADF">
              <wp:simplePos x="0" y="0"/>
              <wp:positionH relativeFrom="page">
                <wp:posOffset>3695700</wp:posOffset>
              </wp:positionH>
              <wp:positionV relativeFrom="page">
                <wp:posOffset>6400800</wp:posOffset>
              </wp:positionV>
              <wp:extent cx="609600" cy="8001000"/>
              <wp:effectExtent l="0" t="0" r="0" b="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EA2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" fillcolor="#009fe4" stroked="f">
              <v:textbox inset=",7.2pt,,7.2pt"/>
              <w10:wrap anchorx="page" anchory="page"/>
              <w10:anchorlock/>
            </v:shape>
          </w:pict>
        </mc:Fallback>
      </mc:AlternateContent>
    </w:r>
    <w:r w:rsidR="00C67D68" w:rsidRPr="00811147">
      <w:rPr>
        <w:rFonts w:asciiTheme="majorHAnsi" w:hAnsiTheme="majorHAnsi" w:cstheme="majorHAnsi"/>
        <w:sz w:val="18"/>
        <w:lang w:bidi="de-DE"/>
      </w:rPr>
      <w:t xml:space="preserve">© 2019 </w:t>
    </w:r>
    <w:proofErr w:type="spellStart"/>
    <w:r w:rsidR="00C67D68" w:rsidRPr="00811147">
      <w:rPr>
        <w:rFonts w:asciiTheme="majorHAnsi" w:hAnsiTheme="majorHAnsi" w:cstheme="majorHAnsi"/>
        <w:sz w:val="18"/>
        <w:lang w:bidi="de-DE"/>
      </w:rPr>
      <w:t>Safety</w:t>
    </w:r>
    <w:proofErr w:type="spellEnd"/>
    <w:r w:rsidR="00C67D68" w:rsidRPr="00811147">
      <w:rPr>
        <w:rFonts w:asciiTheme="majorHAnsi" w:hAnsiTheme="majorHAnsi" w:cstheme="majorHAnsi"/>
        <w:sz w:val="18"/>
        <w:lang w:bidi="de-DE"/>
      </w:rPr>
      <w:t xml:space="preserve"> </w:t>
    </w:r>
    <w:proofErr w:type="spellStart"/>
    <w:r w:rsidR="00C67D68" w:rsidRPr="00811147">
      <w:rPr>
        <w:rFonts w:asciiTheme="majorHAnsi" w:hAnsiTheme="majorHAnsi" w:cstheme="majorHAnsi"/>
        <w:sz w:val="18"/>
        <w:lang w:bidi="de-DE"/>
      </w:rPr>
      <w:t>Xperts</w:t>
    </w:r>
    <w:proofErr w:type="spellEnd"/>
    <w:r w:rsidR="00C67D68" w:rsidRPr="00811147">
      <w:rPr>
        <w:rFonts w:asciiTheme="majorHAnsi" w:hAnsiTheme="majorHAnsi" w:cstheme="majorHAnsi"/>
        <w:sz w:val="18"/>
        <w:lang w:bidi="de-DE"/>
      </w:rPr>
      <w:t xml:space="preserve">, </w:t>
    </w:r>
    <w:r w:rsidR="002F2614">
      <w:rPr>
        <w:rFonts w:asciiTheme="majorHAnsi" w:hAnsiTheme="majorHAnsi" w:cstheme="majorHAnsi"/>
        <w:sz w:val="18"/>
        <w:lang w:bidi="de-DE"/>
      </w:rPr>
      <w:t>Arbeitsschutz und Hygiene im Gesundheitswesen</w:t>
    </w:r>
    <w:r w:rsidR="00C67D68" w:rsidRPr="00811147">
      <w:rPr>
        <w:rFonts w:asciiTheme="majorHAnsi" w:hAnsiTheme="majorHAnsi" w:cstheme="majorHAnsi"/>
        <w:sz w:val="16"/>
        <w:lang w:bidi="de-DE"/>
      </w:rPr>
      <w:tab/>
    </w:r>
    <w:r w:rsidR="002B1C90" w:rsidRPr="00811147">
      <w:rPr>
        <w:rFonts w:asciiTheme="majorHAnsi" w:hAnsiTheme="majorHAnsi" w:cstheme="majorHAnsi"/>
        <w:sz w:val="16"/>
        <w:lang w:bidi="de-DE"/>
      </w:rPr>
      <w:t xml:space="preserve">Seite </w:t>
    </w:r>
    <w:r w:rsidR="00585E82" w:rsidRPr="00811147">
      <w:rPr>
        <w:rFonts w:asciiTheme="majorHAnsi" w:hAnsiTheme="majorHAnsi" w:cstheme="majorHAnsi"/>
        <w:sz w:val="20"/>
        <w:lang w:bidi="de-DE"/>
      </w:rPr>
      <w:fldChar w:fldCharType="begin"/>
    </w:r>
    <w:r w:rsidR="00585E82" w:rsidRPr="00811147">
      <w:rPr>
        <w:rFonts w:asciiTheme="majorHAnsi" w:hAnsiTheme="majorHAnsi" w:cstheme="majorHAnsi"/>
        <w:sz w:val="20"/>
        <w:lang w:bidi="de-DE"/>
      </w:rPr>
      <w:instrText xml:space="preserve"> PAGE  \* MERGEFORMAT </w:instrText>
    </w:r>
    <w:r w:rsidR="00585E82" w:rsidRPr="00811147">
      <w:rPr>
        <w:rFonts w:asciiTheme="majorHAnsi" w:hAnsiTheme="majorHAnsi" w:cstheme="majorHAnsi"/>
        <w:sz w:val="20"/>
        <w:lang w:bidi="de-DE"/>
      </w:rPr>
      <w:fldChar w:fldCharType="separate"/>
    </w:r>
    <w:r w:rsidR="006C444D" w:rsidRPr="00811147">
      <w:rPr>
        <w:rFonts w:asciiTheme="majorHAnsi" w:hAnsiTheme="majorHAnsi" w:cstheme="majorHAnsi"/>
        <w:noProof/>
        <w:sz w:val="16"/>
        <w:lang w:bidi="de-DE"/>
      </w:rPr>
      <w:t>1</w:t>
    </w:r>
    <w:r w:rsidR="00585E82" w:rsidRPr="00811147">
      <w:rPr>
        <w:rFonts w:asciiTheme="majorHAnsi" w:hAnsiTheme="majorHAnsi" w:cstheme="majorHAnsi"/>
        <w:noProof/>
        <w:sz w:val="16"/>
        <w:lang w:bidi="de-DE"/>
      </w:rPr>
      <w:fldChar w:fldCharType="end"/>
    </w:r>
  </w:p>
  <w:p w:rsidR="00C67D68" w:rsidRPr="00C67D68" w:rsidRDefault="00C67D68" w:rsidP="00C67D68">
    <w:pPr>
      <w:pStyle w:val="Fuzeile"/>
      <w:ind w:firstLine="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D68" w:rsidRDefault="00C67D68" w:rsidP="008B0457">
      <w:pPr>
        <w:spacing w:line="240" w:lineRule="auto"/>
      </w:pPr>
      <w:r>
        <w:separator/>
      </w:r>
    </w:p>
  </w:footnote>
  <w:footnote w:type="continuationSeparator" w:id="0">
    <w:p w:rsidR="00C67D68" w:rsidRDefault="00C67D68"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68" w:rsidRDefault="00C67D68">
    <w:pPr>
      <w:pStyle w:val="Kopfzeile"/>
    </w:pPr>
    <w:r w:rsidRPr="00C67D68">
      <w:rPr>
        <w:noProof/>
        <w:color w:val="4A4A4B"/>
        <w:sz w:val="20"/>
      </w:rPr>
      <mc:AlternateContent>
        <mc:Choice Requires="wps">
          <w:drawing>
            <wp:anchor distT="0" distB="0" distL="114300" distR="114300" simplePos="0" relativeHeight="251661312" behindDoc="1" locked="1" layoutInCell="1" allowOverlap="1" wp14:anchorId="09B70DB5" wp14:editId="4E95811A">
              <wp:simplePos x="0" y="0"/>
              <wp:positionH relativeFrom="page">
                <wp:posOffset>3371850</wp:posOffset>
              </wp:positionH>
              <wp:positionV relativeFrom="page">
                <wp:align>top</wp:align>
              </wp:positionV>
              <wp:extent cx="609600" cy="8001000"/>
              <wp:effectExtent l="0" t="0" r="0" b="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7EE4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" fillcolor="#009fe4" stroked="f">
              <v:textbox inset=",7.2pt,,7.2pt"/>
              <w10:wrap anchorx="page" anchory="page"/>
              <w10:anchorlock/>
            </v:shape>
          </w:pict>
        </mc:Fallback>
      </mc:AlternateContent>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266700</wp:posOffset>
          </wp:positionV>
          <wp:extent cx="2406650" cy="570865"/>
          <wp:effectExtent l="0" t="0" r="0" b="635"/>
          <wp:wrapThrough wrapText="bothSides">
            <wp:wrapPolygon edited="0">
              <wp:start x="513" y="0"/>
              <wp:lineTo x="0" y="2162"/>
              <wp:lineTo x="0" y="14416"/>
              <wp:lineTo x="513" y="20903"/>
              <wp:lineTo x="855" y="20903"/>
              <wp:lineTo x="2736" y="20903"/>
              <wp:lineTo x="21372" y="16578"/>
              <wp:lineTo x="21372" y="4325"/>
              <wp:lineTo x="2394" y="0"/>
              <wp:lineTo x="513"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5C07"/>
    <w:multiLevelType w:val="hybridMultilevel"/>
    <w:tmpl w:val="8C926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352CB2"/>
    <w:multiLevelType w:val="hybridMultilevel"/>
    <w:tmpl w:val="B5A05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2A9B"/>
    <w:multiLevelType w:val="hybridMultilevel"/>
    <w:tmpl w:val="83FCF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A65636"/>
    <w:multiLevelType w:val="hybridMultilevel"/>
    <w:tmpl w:val="2998F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10"/>
  </w:num>
  <w:num w:numId="6">
    <w:abstractNumId w:val="1"/>
  </w:num>
  <w:num w:numId="7">
    <w:abstractNumId w:val="0"/>
  </w:num>
  <w:num w:numId="8">
    <w:abstractNumId w:val="6"/>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8"/>
    <w:rsid w:val="0003156E"/>
    <w:rsid w:val="00060774"/>
    <w:rsid w:val="001421CE"/>
    <w:rsid w:val="00181F90"/>
    <w:rsid w:val="00194FA3"/>
    <w:rsid w:val="002A0996"/>
    <w:rsid w:val="002B1C90"/>
    <w:rsid w:val="002D5565"/>
    <w:rsid w:val="002F2614"/>
    <w:rsid w:val="003A77CE"/>
    <w:rsid w:val="00585E82"/>
    <w:rsid w:val="005A5989"/>
    <w:rsid w:val="006259A1"/>
    <w:rsid w:val="00675F78"/>
    <w:rsid w:val="006C0196"/>
    <w:rsid w:val="006C0AED"/>
    <w:rsid w:val="006C27EC"/>
    <w:rsid w:val="006C444D"/>
    <w:rsid w:val="0081053B"/>
    <w:rsid w:val="00811147"/>
    <w:rsid w:val="00866734"/>
    <w:rsid w:val="008B0457"/>
    <w:rsid w:val="009D5BE4"/>
    <w:rsid w:val="00A27BBA"/>
    <w:rsid w:val="00A34118"/>
    <w:rsid w:val="00AD2609"/>
    <w:rsid w:val="00AE53AB"/>
    <w:rsid w:val="00B04DF0"/>
    <w:rsid w:val="00B11398"/>
    <w:rsid w:val="00B27F29"/>
    <w:rsid w:val="00B55E3C"/>
    <w:rsid w:val="00B734EF"/>
    <w:rsid w:val="00B75C23"/>
    <w:rsid w:val="00B80F1F"/>
    <w:rsid w:val="00BB5447"/>
    <w:rsid w:val="00C67D68"/>
    <w:rsid w:val="00D00296"/>
    <w:rsid w:val="00D141B9"/>
    <w:rsid w:val="00D41208"/>
    <w:rsid w:val="00E42E27"/>
    <w:rsid w:val="00E71676"/>
    <w:rsid w:val="00EE14B4"/>
    <w:rsid w:val="00F06AF6"/>
    <w:rsid w:val="00F5564F"/>
    <w:rsid w:val="00F6243E"/>
    <w:rsid w:val="00F93095"/>
    <w:rsid w:val="00FA0816"/>
    <w:rsid w:val="00FB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7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5E3C"/>
    <w:pPr>
      <w:spacing w:before="60" w:after="60" w:line="264" w:lineRule="auto"/>
    </w:pPr>
    <w:rPr>
      <w:rFonts w:ascii="Times New Roman" w:hAnsi="Times New Roman"/>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basedOn w:val="Absatz-Standardschriftart"/>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w\AppData\Roaming\Microsoft\Templates\Finanzplan-Checkliste.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977B4-CA4C-4D04-8724-67635B1F8B0D}">
  <ds:schemaRefs>
    <ds:schemaRef ds:uri="http://purl.org/dc/terms/"/>
    <ds:schemaRef ds:uri="http://schemas.openxmlformats.org/package/2006/metadata/core-properties"/>
    <ds:schemaRef ds:uri="6dc4bcd6-49db-4c07-9060-8acfc67cef9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fb0879af-3eba-417a-a55a-ffe6dcd6ca77"/>
    <ds:schemaRef ds:uri="http://www.w3.org/XML/1998/namespace"/>
  </ds:schemaRefs>
</ds:datastoreItem>
</file>

<file path=customXml/itemProps3.xml><?xml version="1.0" encoding="utf-8"?>
<ds:datastoreItem xmlns:ds="http://schemas.openxmlformats.org/officeDocument/2006/customXml" ds:itemID="{7AF0A2BA-F515-4E77-BDE4-F4F8FD7AF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Finanzplan-Checkliste.dotx</Template>
  <TotalTime>0</TotalTime>
  <Pages>2</Pages>
  <Words>275</Words>
  <Characters>1738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2019-03-27T12:42:00Z</dcterms:created>
  <dcterms:modified xsi:type="dcterms:W3CDTF">2019-05-20T08:24:00Z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