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47" w:rsidRDefault="002E69CF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Betriebsvereinbarung zu </w:t>
      </w:r>
      <w:proofErr w:type="spellStart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Arbeitsschutzmaßnahmen</w:t>
      </w:r>
      <w:proofErr w:type="spellEnd"/>
    </w:p>
    <w:tbl>
      <w:tblPr>
        <w:tblStyle w:val="TableNormal"/>
        <w:tblpPr w:leftFromText="141" w:rightFromText="141" w:vertAnchor="text" w:horzAnchor="margin" w:tblpXSpec="center" w:tblpY="125"/>
        <w:tblOverlap w:val="never"/>
        <w:tblW w:w="106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529"/>
      </w:tblGrid>
      <w:tr w:rsidR="00544666" w:rsidRPr="005A5989" w:rsidTr="00544666">
        <w:trPr>
          <w:trHeight w:val="316"/>
        </w:trPr>
        <w:tc>
          <w:tcPr>
            <w:tcW w:w="5103" w:type="dxa"/>
            <w:tcBorders>
              <w:left w:val="nil"/>
            </w:tcBorders>
            <w:shd w:val="clear" w:color="auto" w:fill="E0E1E3"/>
          </w:tcPr>
          <w:p w:rsidR="00544666" w:rsidRPr="005A5989" w:rsidRDefault="00544666" w:rsidP="00544666">
            <w:pPr>
              <w:pStyle w:val="TableParagraph"/>
              <w:rPr>
                <w:rFonts w:ascii="Times"/>
                <w:sz w:val="20"/>
                <w:lang w:val="de-DE"/>
              </w:rPr>
            </w:pPr>
            <w:r>
              <w:rPr>
                <w:b/>
                <w:color w:val="231F20"/>
                <w:sz w:val="20"/>
                <w:lang w:val="de-DE"/>
              </w:rPr>
              <w:t>Präambel</w:t>
            </w:r>
          </w:p>
        </w:tc>
        <w:tc>
          <w:tcPr>
            <w:tcW w:w="5529" w:type="dxa"/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b/>
                <w:color w:val="231F20"/>
                <w:sz w:val="20"/>
                <w:lang w:val="de-DE"/>
              </w:rPr>
              <w:t xml:space="preserve">§ 3 Der Fachausschuss </w:t>
            </w:r>
          </w:p>
        </w:tc>
      </w:tr>
      <w:tr w:rsidR="00544666" w:rsidRPr="005A5989" w:rsidTr="00544666">
        <w:trPr>
          <w:trHeight w:val="581"/>
        </w:trPr>
        <w:tc>
          <w:tcPr>
            <w:tcW w:w="5103" w:type="dxa"/>
            <w:tcBorders>
              <w:left w:val="nil"/>
            </w:tcBorders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right="46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Arbeitgeber und Betriebsrat einigen sich in dieser Vereinbarung über die Grundsätze zur Einführung von Arbeitsschutzmaßnahmen nach dem Arbeitsschutzgesetz. So soll erreicht werden, dass Arbeitsunfälle und arbeitsbedingte Erkrankungen vermieden werden.</w:t>
            </w:r>
          </w:p>
        </w:tc>
        <w:tc>
          <w:tcPr>
            <w:tcW w:w="5529" w:type="dxa"/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Zur Sicherstellung des Arbeitsschutzes im Betrieb wird ein Fachausschuss gebildet. Er besteht aus einem Vertreter des Arbeitgebers, </w:t>
            </w:r>
            <w:r>
              <w:rPr>
                <w:sz w:val="20"/>
                <w:lang w:val="de-DE"/>
              </w:rPr>
              <w:br/>
              <w:t xml:space="preserve">der Sicherheitsfachkraft, </w:t>
            </w:r>
            <w:r>
              <w:rPr>
                <w:sz w:val="20"/>
                <w:lang w:val="de-DE"/>
              </w:rPr>
              <w:br/>
              <w:t xml:space="preserve">einem Sicherheitsbeauftragten, </w:t>
            </w:r>
            <w:r>
              <w:rPr>
                <w:sz w:val="20"/>
                <w:lang w:val="de-DE"/>
              </w:rPr>
              <w:br/>
              <w:t xml:space="preserve">dem Betriebsarzt und </w:t>
            </w:r>
            <w:r>
              <w:rPr>
                <w:sz w:val="20"/>
                <w:lang w:val="de-DE"/>
              </w:rPr>
              <w:br/>
              <w:t>einem Betriebsratsmitglied.</w:t>
            </w:r>
          </w:p>
        </w:tc>
      </w:tr>
      <w:tr w:rsidR="00544666" w:rsidRPr="005A5989" w:rsidTr="00544666">
        <w:trPr>
          <w:trHeight w:val="316"/>
        </w:trPr>
        <w:tc>
          <w:tcPr>
            <w:tcW w:w="5103" w:type="dxa"/>
            <w:tcBorders>
              <w:left w:val="nil"/>
            </w:tcBorders>
            <w:shd w:val="clear" w:color="auto" w:fill="E0E1E3"/>
          </w:tcPr>
          <w:p w:rsidR="00544666" w:rsidRPr="002E69CF" w:rsidRDefault="00544666" w:rsidP="00544666">
            <w:pPr>
              <w:pStyle w:val="TableParagraph"/>
              <w:spacing w:before="3"/>
              <w:ind w:right="46"/>
              <w:rPr>
                <w:b/>
                <w:sz w:val="20"/>
                <w:lang w:val="de-DE"/>
              </w:rPr>
            </w:pPr>
            <w:r w:rsidRPr="002E69CF">
              <w:rPr>
                <w:b/>
                <w:sz w:val="20"/>
                <w:lang w:val="de-DE"/>
              </w:rPr>
              <w:t>§ 1 Geltungsbereich</w:t>
            </w:r>
          </w:p>
        </w:tc>
        <w:tc>
          <w:tcPr>
            <w:tcW w:w="5529" w:type="dxa"/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right="46"/>
              <w:rPr>
                <w:sz w:val="20"/>
                <w:lang w:val="de-DE"/>
              </w:rPr>
            </w:pPr>
            <w:r w:rsidRPr="00544666">
              <w:rPr>
                <w:b/>
                <w:sz w:val="20"/>
                <w:lang w:val="de-DE"/>
              </w:rPr>
              <w:t>§ 4 Aufgaben des Fachausschusses</w:t>
            </w:r>
          </w:p>
        </w:tc>
      </w:tr>
      <w:tr w:rsidR="00544666" w:rsidRPr="005A5989" w:rsidTr="00544666">
        <w:trPr>
          <w:trHeight w:val="316"/>
        </w:trPr>
        <w:tc>
          <w:tcPr>
            <w:tcW w:w="5103" w:type="dxa"/>
            <w:tcBorders>
              <w:left w:val="nil"/>
            </w:tcBorders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right="46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Diese Betriebsvereinbarung gilt für alle Arbeitsplätze und Beschäftigten im Unternehmen. </w:t>
            </w:r>
          </w:p>
        </w:tc>
        <w:tc>
          <w:tcPr>
            <w:tcW w:w="5529" w:type="dxa"/>
            <w:shd w:val="clear" w:color="auto" w:fill="E0E1E3"/>
          </w:tcPr>
          <w:p w:rsidR="00544666" w:rsidRDefault="00544666" w:rsidP="00544666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Der Fachausschuss überprüft sämtliche Arbeitsplätze des Betriebs und legt, falls erforderlich, Arbeitsschutzmaßnahmen fest. Bei betrieblichen Veränderungen wird die Prüfung wiederholt. </w:t>
            </w:r>
          </w:p>
          <w:p w:rsidR="00544666" w:rsidRPr="005A5989" w:rsidRDefault="00544666" w:rsidP="00544666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Geprüft wird auch, ob notwendige Gefährdungsbeurteilungen vorliegen, aktualisiert werden müssen und ob die Mitarbeiter alle notwendigen Unterweisungen erhalten haben.</w:t>
            </w:r>
          </w:p>
        </w:tc>
      </w:tr>
      <w:tr w:rsidR="00544666" w:rsidRPr="005A5989" w:rsidTr="00544666">
        <w:trPr>
          <w:trHeight w:val="316"/>
        </w:trPr>
        <w:tc>
          <w:tcPr>
            <w:tcW w:w="5103" w:type="dxa"/>
            <w:tcBorders>
              <w:left w:val="nil"/>
            </w:tcBorders>
            <w:shd w:val="clear" w:color="auto" w:fill="E0E1E3"/>
          </w:tcPr>
          <w:p w:rsidR="00544666" w:rsidRPr="00544666" w:rsidRDefault="00544666" w:rsidP="00544666">
            <w:pPr>
              <w:pStyle w:val="TableParagraph"/>
              <w:spacing w:before="3"/>
              <w:ind w:right="46"/>
              <w:rPr>
                <w:b/>
                <w:sz w:val="20"/>
                <w:lang w:val="de-DE"/>
              </w:rPr>
            </w:pPr>
            <w:r w:rsidRPr="00544666">
              <w:rPr>
                <w:b/>
                <w:sz w:val="20"/>
                <w:lang w:val="de-DE"/>
              </w:rPr>
              <w:t>§ 2 Persönliche Schutzausrüstung</w:t>
            </w:r>
          </w:p>
        </w:tc>
        <w:tc>
          <w:tcPr>
            <w:tcW w:w="5529" w:type="dxa"/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right="46"/>
              <w:rPr>
                <w:sz w:val="20"/>
                <w:lang w:val="de-DE"/>
              </w:rPr>
            </w:pPr>
            <w:r w:rsidRPr="00544666">
              <w:rPr>
                <w:b/>
                <w:sz w:val="20"/>
                <w:lang w:val="de-DE"/>
              </w:rPr>
              <w:t>§ 5 Verstöße</w:t>
            </w:r>
          </w:p>
        </w:tc>
      </w:tr>
      <w:tr w:rsidR="00544666" w:rsidRPr="005A5989" w:rsidTr="00544666">
        <w:trPr>
          <w:trHeight w:val="316"/>
        </w:trPr>
        <w:tc>
          <w:tcPr>
            <w:tcW w:w="5103" w:type="dxa"/>
            <w:tcBorders>
              <w:left w:val="nil"/>
            </w:tcBorders>
            <w:shd w:val="clear" w:color="auto" w:fill="E0E1E3"/>
          </w:tcPr>
          <w:p w:rsidR="00544666" w:rsidRDefault="00544666" w:rsidP="00544666">
            <w:pPr>
              <w:pStyle w:val="TableParagraph"/>
              <w:spacing w:before="3"/>
              <w:ind w:right="46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Zur Sicherstellung, dass jeder Mitarbeiter seine Persönliche Schutzausrüstung (PSA) erhält, wird ein Fachausschuss gebildet, der überprüft und für die Arbeitnehmer verbindlich festlegt, an welchen Arbeitsplätzen im Betrieb</w:t>
            </w:r>
          </w:p>
          <w:p w:rsidR="00544666" w:rsidRDefault="00544666" w:rsidP="00544666">
            <w:pPr>
              <w:pStyle w:val="TableParagraph"/>
              <w:numPr>
                <w:ilvl w:val="0"/>
                <w:numId w:val="8"/>
              </w:numPr>
              <w:spacing w:before="3"/>
              <w:ind w:right="46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Schutzbrillen, </w:t>
            </w:r>
          </w:p>
          <w:p w:rsidR="00544666" w:rsidRDefault="00544666" w:rsidP="00544666">
            <w:pPr>
              <w:pStyle w:val="TableParagraph"/>
              <w:numPr>
                <w:ilvl w:val="0"/>
                <w:numId w:val="8"/>
              </w:numPr>
              <w:spacing w:before="3"/>
              <w:ind w:right="46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Sicherheitsschuhe, </w:t>
            </w:r>
          </w:p>
          <w:p w:rsidR="00544666" w:rsidRDefault="00544666" w:rsidP="00544666">
            <w:pPr>
              <w:pStyle w:val="TableParagraph"/>
              <w:numPr>
                <w:ilvl w:val="0"/>
                <w:numId w:val="8"/>
              </w:numPr>
              <w:spacing w:before="3"/>
              <w:ind w:right="46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Atemschutzmasken, </w:t>
            </w:r>
          </w:p>
          <w:p w:rsidR="00544666" w:rsidRDefault="00544666" w:rsidP="00544666">
            <w:pPr>
              <w:pStyle w:val="TableParagraph"/>
              <w:numPr>
                <w:ilvl w:val="0"/>
                <w:numId w:val="8"/>
              </w:numPr>
              <w:spacing w:before="3"/>
              <w:ind w:right="46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Schutzkleidung</w:t>
            </w:r>
          </w:p>
          <w:p w:rsidR="00544666" w:rsidRPr="005A5989" w:rsidRDefault="00544666" w:rsidP="00544666">
            <w:pPr>
              <w:pStyle w:val="TableParagraph"/>
              <w:spacing w:before="3"/>
              <w:ind w:right="46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Zu tragen sind. </w:t>
            </w:r>
            <w:r>
              <w:rPr>
                <w:sz w:val="20"/>
                <w:lang w:val="de-DE"/>
              </w:rPr>
              <w:br/>
              <w:t xml:space="preserve">Gesetzliche Regelungen, die das Tragen von PSA vorschreiben, werden hierdurch nicht berührt. Die Arbeitsschutzkleidung wird vom Arbeitgeber zur Verfügung gestellt, erneuert und im erforderlichen Umfang gereinigt bzw. bei Bedarf ersetzt. </w:t>
            </w:r>
          </w:p>
        </w:tc>
        <w:tc>
          <w:tcPr>
            <w:tcW w:w="5529" w:type="dxa"/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Verstößt ein Mitarbeiter gegen die verbindliche Festlegung, PSA zu tragen, kann dies mit einer Abmahnung sowie einer Kündigung geahndet werden.</w:t>
            </w:r>
          </w:p>
        </w:tc>
      </w:tr>
      <w:tr w:rsidR="00544666" w:rsidRPr="005A5989" w:rsidTr="00544666">
        <w:trPr>
          <w:trHeight w:val="316"/>
        </w:trPr>
        <w:tc>
          <w:tcPr>
            <w:tcW w:w="5103" w:type="dxa"/>
            <w:tcBorders>
              <w:left w:val="nil"/>
            </w:tcBorders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right="46"/>
              <w:rPr>
                <w:sz w:val="20"/>
                <w:lang w:val="de-DE"/>
              </w:rPr>
            </w:pPr>
          </w:p>
        </w:tc>
        <w:tc>
          <w:tcPr>
            <w:tcW w:w="5529" w:type="dxa"/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right="46"/>
              <w:rPr>
                <w:sz w:val="20"/>
                <w:lang w:val="de-DE"/>
              </w:rPr>
            </w:pPr>
            <w:r w:rsidRPr="00544666">
              <w:rPr>
                <w:b/>
                <w:sz w:val="20"/>
                <w:lang w:val="de-DE"/>
              </w:rPr>
              <w:t>§ 6 Schlussbestimmung</w:t>
            </w:r>
          </w:p>
        </w:tc>
      </w:tr>
      <w:tr w:rsidR="00544666" w:rsidRPr="005A5989" w:rsidTr="00544666">
        <w:trPr>
          <w:trHeight w:val="316"/>
        </w:trPr>
        <w:tc>
          <w:tcPr>
            <w:tcW w:w="5103" w:type="dxa"/>
            <w:tcBorders>
              <w:left w:val="nil"/>
            </w:tcBorders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right="46"/>
              <w:rPr>
                <w:sz w:val="20"/>
                <w:lang w:val="de-DE"/>
              </w:rPr>
            </w:pPr>
          </w:p>
        </w:tc>
        <w:tc>
          <w:tcPr>
            <w:tcW w:w="5529" w:type="dxa"/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Diese Betriebsvereinbarung kann mit einer Frist von 3 Monaten von beiden Seiten schriftlich gekündigt werden. Sie wirkt bis zum Abschluss einer entsprechenden neuen Betriebsvereinbarung nach. Diese Betriebsvereinbarung tritt mit deren Unterzeichnung in Kraft. </w:t>
            </w:r>
          </w:p>
        </w:tc>
      </w:tr>
      <w:tr w:rsidR="00544666" w:rsidRPr="005A5989" w:rsidTr="00544666">
        <w:trPr>
          <w:trHeight w:val="316"/>
        </w:trPr>
        <w:tc>
          <w:tcPr>
            <w:tcW w:w="5103" w:type="dxa"/>
            <w:tcBorders>
              <w:left w:val="nil"/>
            </w:tcBorders>
            <w:shd w:val="clear" w:color="auto" w:fill="E0E1E3"/>
          </w:tcPr>
          <w:p w:rsidR="00544666" w:rsidRPr="000E4A82" w:rsidRDefault="00544666" w:rsidP="00544666">
            <w:pPr>
              <w:pStyle w:val="TableParagraph"/>
              <w:spacing w:before="3"/>
              <w:ind w:right="46"/>
              <w:rPr>
                <w:rFonts w:ascii="Arial Black" w:hAnsi="Arial Black"/>
                <w:sz w:val="20"/>
                <w:lang w:val="de-DE"/>
              </w:rPr>
            </w:pPr>
            <w:r w:rsidRPr="000E4A82">
              <w:rPr>
                <w:rFonts w:ascii="Arial Black" w:hAnsi="Arial Black"/>
                <w:sz w:val="20"/>
                <w:lang w:val="de-DE"/>
              </w:rPr>
              <w:t>17.</w:t>
            </w:r>
            <w:bookmarkStart w:id="0" w:name="_GoBack"/>
            <w:bookmarkEnd w:id="0"/>
            <w:r w:rsidRPr="000E4A82">
              <w:rPr>
                <w:rFonts w:ascii="Arial Black" w:hAnsi="Arial Black"/>
                <w:sz w:val="20"/>
                <w:lang w:val="de-DE"/>
              </w:rPr>
              <w:t>01.2019 Michael Muster</w:t>
            </w:r>
          </w:p>
        </w:tc>
        <w:tc>
          <w:tcPr>
            <w:tcW w:w="5529" w:type="dxa"/>
            <w:shd w:val="clear" w:color="auto" w:fill="E0E1E3"/>
          </w:tcPr>
          <w:p w:rsidR="00544666" w:rsidRPr="000E4A82" w:rsidRDefault="00544666" w:rsidP="00544666">
            <w:pPr>
              <w:pStyle w:val="TableParagraph"/>
              <w:spacing w:before="3"/>
              <w:ind w:left="47"/>
              <w:rPr>
                <w:rFonts w:ascii="Arial Black" w:hAnsi="Arial Black"/>
                <w:sz w:val="20"/>
                <w:lang w:val="de-DE"/>
              </w:rPr>
            </w:pPr>
            <w:r w:rsidRPr="000E4A82">
              <w:rPr>
                <w:rFonts w:ascii="Arial Black" w:hAnsi="Arial Black"/>
                <w:sz w:val="20"/>
                <w:lang w:val="de-DE"/>
              </w:rPr>
              <w:t xml:space="preserve">Frank Betreiber </w:t>
            </w:r>
          </w:p>
        </w:tc>
      </w:tr>
      <w:tr w:rsidR="00544666" w:rsidRPr="005A5989" w:rsidTr="00544666">
        <w:trPr>
          <w:trHeight w:val="316"/>
        </w:trPr>
        <w:tc>
          <w:tcPr>
            <w:tcW w:w="5103" w:type="dxa"/>
            <w:tcBorders>
              <w:left w:val="nil"/>
            </w:tcBorders>
            <w:shd w:val="clear" w:color="auto" w:fill="E0E1E3"/>
          </w:tcPr>
          <w:p w:rsidR="00544666" w:rsidRPr="005A5989" w:rsidRDefault="00544666" w:rsidP="00544666">
            <w:pPr>
              <w:pStyle w:val="TableParagraph"/>
              <w:rPr>
                <w:rFonts w:ascii="Times"/>
                <w:sz w:val="20"/>
                <w:lang w:val="de-DE"/>
              </w:rPr>
            </w:pPr>
            <w:r>
              <w:rPr>
                <w:rFonts w:ascii="Times"/>
                <w:sz w:val="20"/>
                <w:lang w:val="de-DE"/>
              </w:rPr>
              <w:t>Ort, Datum   Unterschrift Gesch</w:t>
            </w:r>
            <w:r>
              <w:rPr>
                <w:rFonts w:ascii="Times"/>
                <w:sz w:val="20"/>
                <w:lang w:val="de-DE"/>
              </w:rPr>
              <w:t>ä</w:t>
            </w:r>
            <w:r>
              <w:rPr>
                <w:rFonts w:ascii="Times"/>
                <w:sz w:val="20"/>
                <w:lang w:val="de-DE"/>
              </w:rPr>
              <w:t>ftsf</w:t>
            </w:r>
            <w:r>
              <w:rPr>
                <w:rFonts w:ascii="Times"/>
                <w:sz w:val="20"/>
                <w:lang w:val="de-DE"/>
              </w:rPr>
              <w:t>ü</w:t>
            </w:r>
            <w:r>
              <w:rPr>
                <w:rFonts w:ascii="Times"/>
                <w:sz w:val="20"/>
                <w:lang w:val="de-DE"/>
              </w:rPr>
              <w:t>hrer</w:t>
            </w:r>
          </w:p>
        </w:tc>
        <w:tc>
          <w:tcPr>
            <w:tcW w:w="5529" w:type="dxa"/>
            <w:shd w:val="clear" w:color="auto" w:fill="E0E1E3"/>
          </w:tcPr>
          <w:p w:rsidR="00544666" w:rsidRPr="005A5989" w:rsidRDefault="00544666" w:rsidP="00544666">
            <w:pPr>
              <w:pStyle w:val="TableParagraph"/>
              <w:spacing w:before="3"/>
              <w:ind w:left="47"/>
              <w:rPr>
                <w:sz w:val="20"/>
                <w:lang w:val="de-DE"/>
              </w:rPr>
            </w:pPr>
            <w:r w:rsidRPr="0086281D">
              <w:rPr>
                <w:rFonts w:ascii="Times"/>
                <w:sz w:val="20"/>
                <w:lang w:val="de-DE"/>
              </w:rPr>
              <w:t>Unterschrift Betriebsratsvorsitzender</w:t>
            </w:r>
          </w:p>
        </w:tc>
      </w:tr>
    </w:tbl>
    <w:p w:rsidR="00811147" w:rsidRDefault="00811147" w:rsidP="00811147">
      <w:pPr>
        <w:pStyle w:val="Textkrper"/>
        <w:spacing w:before="1"/>
        <w:rPr>
          <w:sz w:val="9"/>
        </w:rPr>
      </w:pPr>
    </w:p>
    <w:p w:rsidR="006C27EC" w:rsidRPr="005A5989" w:rsidRDefault="000E4A82" w:rsidP="00811147">
      <w:pPr>
        <w:pStyle w:val="Checkliste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textWrapping" w:clear="all"/>
      </w:r>
    </w:p>
    <w:sectPr w:rsidR="006C27EC" w:rsidRPr="005A5989" w:rsidSect="0086281D">
      <w:headerReference w:type="default" r:id="rId11"/>
      <w:footerReference w:type="default" r:id="rId12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8" w:rsidRDefault="00C67D68" w:rsidP="008B0457">
      <w:pPr>
        <w:spacing w:line="240" w:lineRule="auto"/>
      </w:pPr>
      <w:r>
        <w:separator/>
      </w:r>
    </w:p>
  </w:endnote>
  <w:endnote w:type="continuationSeparator" w:id="0">
    <w:p w:rsidR="00C67D68" w:rsidRDefault="00C67D6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2019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Xperts</w:t>
    </w:r>
    <w:r w:rsidR="000E4A82">
      <w:rPr>
        <w:rFonts w:asciiTheme="majorHAnsi" w:hAnsiTheme="majorHAnsi" w:cstheme="majorHAnsi"/>
        <w:sz w:val="18"/>
        <w:lang w:bidi="de-DE"/>
      </w:rPr>
      <w:t>, Gefahrstoffe aktuell, Gabriele Janssen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8" w:rsidRDefault="00C67D68" w:rsidP="008B0457">
      <w:pPr>
        <w:spacing w:line="240" w:lineRule="auto"/>
      </w:pPr>
      <w:r>
        <w:separator/>
      </w:r>
    </w:p>
  </w:footnote>
  <w:footnote w:type="continuationSeparator" w:id="0">
    <w:p w:rsidR="00C67D68" w:rsidRDefault="00C67D6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C6B86"/>
    <w:multiLevelType w:val="hybridMultilevel"/>
    <w:tmpl w:val="4F7CA7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0E4A82"/>
    <w:rsid w:val="001421CE"/>
    <w:rsid w:val="00181F90"/>
    <w:rsid w:val="00194FA3"/>
    <w:rsid w:val="002A0996"/>
    <w:rsid w:val="002B1C90"/>
    <w:rsid w:val="002D5565"/>
    <w:rsid w:val="002E69CF"/>
    <w:rsid w:val="003A77CE"/>
    <w:rsid w:val="00544666"/>
    <w:rsid w:val="00585E82"/>
    <w:rsid w:val="005A5989"/>
    <w:rsid w:val="006259A1"/>
    <w:rsid w:val="00675F78"/>
    <w:rsid w:val="006C0196"/>
    <w:rsid w:val="006C0AED"/>
    <w:rsid w:val="006C27EC"/>
    <w:rsid w:val="006C444D"/>
    <w:rsid w:val="0081053B"/>
    <w:rsid w:val="00811147"/>
    <w:rsid w:val="0086281D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09A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fb0879af-3eba-417a-a55a-ffe6dcd6ca7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D639C-5824-423E-9356-BE40C651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305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2019-03-25T10:50:00Z</dcterms:created>
  <dcterms:modified xsi:type="dcterms:W3CDTF">2019-05-14T13:12:00Z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