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CCC0" w14:textId="7C3F7973" w:rsidR="00AA6A7B" w:rsidRDefault="00AA6A7B" w:rsidP="00AA6A7B">
      <w:pPr>
        <w:pStyle w:val="UTWGrund"/>
        <w:ind w:left="142"/>
        <w:jc w:val="left"/>
        <w:rPr>
          <w:rFonts w:ascii="Arial" w:hAnsi="Arial"/>
          <w:b/>
          <w:bCs/>
          <w:caps/>
          <w:color w:val="009FE4"/>
          <w:sz w:val="32"/>
          <w:szCs w:val="40"/>
          <w:lang w:bidi="de-DE"/>
        </w:rPr>
      </w:pPr>
      <w:r w:rsidRPr="00AA6A7B">
        <w:rPr>
          <w:rFonts w:ascii="Arial" w:hAnsi="Arial"/>
          <w:b/>
          <w:bCs/>
          <w:caps/>
          <w:color w:val="009FE4"/>
          <w:sz w:val="32"/>
          <w:szCs w:val="40"/>
          <w:lang w:bidi="de-DE"/>
        </w:rPr>
        <w:t>Übersicht</w:t>
      </w:r>
      <w:r>
        <w:rPr>
          <w:rFonts w:ascii="Arial" w:hAnsi="Arial"/>
          <w:b/>
          <w:bCs/>
          <w:caps/>
          <w:color w:val="009FE4"/>
          <w:sz w:val="32"/>
          <w:szCs w:val="40"/>
          <w:lang w:bidi="de-DE"/>
        </w:rPr>
        <w:t xml:space="preserve"> </w:t>
      </w:r>
      <w:r w:rsidRPr="00AA6A7B">
        <w:rPr>
          <w:rFonts w:ascii="Arial" w:hAnsi="Arial"/>
          <w:b/>
          <w:bCs/>
          <w:caps/>
          <w:color w:val="009FE4"/>
          <w:sz w:val="32"/>
          <w:szCs w:val="40"/>
          <w:lang w:bidi="de-DE"/>
        </w:rPr>
        <w:t>Gefährdungen Winkelsc</w:t>
      </w:r>
      <w:r>
        <w:rPr>
          <w:rFonts w:ascii="Arial" w:hAnsi="Arial"/>
          <w:b/>
          <w:bCs/>
          <w:caps/>
          <w:color w:val="009FE4"/>
          <w:sz w:val="32"/>
          <w:szCs w:val="40"/>
          <w:lang w:bidi="de-DE"/>
        </w:rPr>
        <w:t>H</w:t>
      </w:r>
      <w:r w:rsidRPr="00AA6A7B">
        <w:rPr>
          <w:rFonts w:ascii="Arial" w:hAnsi="Arial"/>
          <w:b/>
          <w:bCs/>
          <w:caps/>
          <w:color w:val="009FE4"/>
          <w:sz w:val="32"/>
          <w:szCs w:val="40"/>
          <w:lang w:bidi="de-DE"/>
        </w:rPr>
        <w:t>leifer</w:t>
      </w:r>
      <w:r>
        <w:rPr>
          <w:rFonts w:ascii="Arial" w:hAnsi="Arial"/>
          <w:b/>
          <w:bCs/>
          <w:caps/>
          <w:color w:val="009FE4"/>
          <w:sz w:val="32"/>
          <w:szCs w:val="40"/>
          <w:lang w:bidi="de-DE"/>
        </w:rPr>
        <w:t xml:space="preserve"> </w:t>
      </w:r>
      <w:r w:rsidRPr="00AA6A7B">
        <w:rPr>
          <w:rFonts w:ascii="Arial" w:hAnsi="Arial"/>
          <w:b/>
          <w:bCs/>
          <w:caps/>
          <w:color w:val="009FE4"/>
          <w:sz w:val="32"/>
          <w:szCs w:val="40"/>
          <w:lang w:bidi="de-DE"/>
        </w:rPr>
        <w:t>Arbeitssicherheit</w:t>
      </w:r>
    </w:p>
    <w:p w14:paraId="2A233AF2" w14:textId="77777777" w:rsidR="006D6900" w:rsidRDefault="006D6900" w:rsidP="00AA6A7B">
      <w:pPr>
        <w:pStyle w:val="UTWGrund"/>
        <w:ind w:left="142"/>
        <w:jc w:val="left"/>
        <w:rPr>
          <w:rFonts w:ascii="Arial" w:hAnsi="Arial"/>
          <w:b/>
          <w:bCs/>
          <w:caps/>
          <w:color w:val="009FE4"/>
          <w:sz w:val="32"/>
          <w:szCs w:val="40"/>
          <w:lang w:bidi="de-DE"/>
        </w:rPr>
      </w:pPr>
    </w:p>
    <w:tbl>
      <w:tblPr>
        <w:tblW w:w="0" w:type="auto"/>
        <w:tblInd w:w="-8" w:type="dxa"/>
        <w:tblLayout w:type="fixed"/>
        <w:tblCellMar>
          <w:left w:w="0" w:type="dxa"/>
          <w:right w:w="0" w:type="dxa"/>
        </w:tblCellMar>
        <w:tblLook w:val="0000" w:firstRow="0" w:lastRow="0" w:firstColumn="0" w:lastColumn="0" w:noHBand="0" w:noVBand="0"/>
      </w:tblPr>
      <w:tblGrid>
        <w:gridCol w:w="2395"/>
        <w:gridCol w:w="8277"/>
      </w:tblGrid>
      <w:tr w:rsidR="006D6900" w14:paraId="46E6BFB0" w14:textId="77777777">
        <w:tblPrEx>
          <w:tblCellMar>
            <w:top w:w="0" w:type="dxa"/>
            <w:left w:w="0" w:type="dxa"/>
            <w:bottom w:w="0" w:type="dxa"/>
            <w:right w:w="0" w:type="dxa"/>
          </w:tblCellMar>
        </w:tblPrEx>
        <w:trPr>
          <w:trHeight w:val="60"/>
          <w:tblHeader/>
        </w:trPr>
        <w:tc>
          <w:tcPr>
            <w:tcW w:w="2395" w:type="dxa"/>
            <w:tcBorders>
              <w:top w:val="single" w:sz="6" w:space="0" w:color="000001"/>
              <w:left w:val="single" w:sz="6" w:space="0" w:color="000001"/>
              <w:bottom w:val="single" w:sz="6" w:space="0" w:color="000000"/>
              <w:right w:val="single" w:sz="4" w:space="0" w:color="000000"/>
            </w:tcBorders>
            <w:shd w:val="solid" w:color="B2B2B2" w:fill="auto"/>
            <w:tcMar>
              <w:top w:w="57" w:type="dxa"/>
              <w:left w:w="113" w:type="dxa"/>
              <w:bottom w:w="85" w:type="dxa"/>
              <w:right w:w="57" w:type="dxa"/>
            </w:tcMar>
          </w:tcPr>
          <w:p w14:paraId="13BB9F67" w14:textId="77777777" w:rsidR="006D6900" w:rsidRDefault="006D6900">
            <w:pPr>
              <w:pStyle w:val="UTWTabelleGrund"/>
            </w:pPr>
            <w:r>
              <w:rPr>
                <w:rStyle w:val="GrundbU"/>
                <w:spacing w:val="-3"/>
              </w:rPr>
              <w:t>Gefährdungsfaktor</w:t>
            </w:r>
          </w:p>
        </w:tc>
        <w:tc>
          <w:tcPr>
            <w:tcW w:w="8277" w:type="dxa"/>
            <w:tcBorders>
              <w:top w:val="single" w:sz="6" w:space="0" w:color="000001"/>
              <w:left w:val="single" w:sz="4" w:space="0" w:color="000000"/>
              <w:bottom w:val="single" w:sz="6" w:space="0" w:color="000000"/>
              <w:right w:val="single" w:sz="6" w:space="0" w:color="000000"/>
            </w:tcBorders>
            <w:shd w:val="solid" w:color="B2B2B2" w:fill="auto"/>
            <w:tcMar>
              <w:top w:w="57" w:type="dxa"/>
              <w:left w:w="113" w:type="dxa"/>
              <w:bottom w:w="85" w:type="dxa"/>
              <w:right w:w="57" w:type="dxa"/>
            </w:tcMar>
          </w:tcPr>
          <w:p w14:paraId="1FDEF196" w14:textId="77777777" w:rsidR="006D6900" w:rsidRDefault="006D6900">
            <w:pPr>
              <w:pStyle w:val="UTWTabelleGrund"/>
            </w:pPr>
            <w:r>
              <w:rPr>
                <w:rStyle w:val="GrundbU"/>
                <w:spacing w:val="-3"/>
              </w:rPr>
              <w:t>Schutzmaßnahmen und Verhaltensregeln für die Unterweisung</w:t>
            </w:r>
          </w:p>
        </w:tc>
      </w:tr>
      <w:tr w:rsidR="006D6900" w14:paraId="65A249F1" w14:textId="77777777">
        <w:tblPrEx>
          <w:tblCellMar>
            <w:top w:w="0" w:type="dxa"/>
            <w:left w:w="0" w:type="dxa"/>
            <w:bottom w:w="0" w:type="dxa"/>
            <w:right w:w="0" w:type="dxa"/>
          </w:tblCellMar>
        </w:tblPrEx>
        <w:trPr>
          <w:trHeight w:val="60"/>
        </w:trPr>
        <w:tc>
          <w:tcPr>
            <w:tcW w:w="2395" w:type="dxa"/>
            <w:tcBorders>
              <w:top w:val="single" w:sz="8" w:space="0" w:color="B2B2B2"/>
              <w:left w:val="single" w:sz="6" w:space="0" w:color="B2B2B2"/>
              <w:bottom w:val="single" w:sz="4" w:space="0" w:color="B2B2B2"/>
              <w:right w:val="single" w:sz="4" w:space="0" w:color="000000"/>
            </w:tcBorders>
            <w:tcMar>
              <w:top w:w="113" w:type="dxa"/>
              <w:left w:w="113" w:type="dxa"/>
              <w:bottom w:w="142" w:type="dxa"/>
              <w:right w:w="113" w:type="dxa"/>
            </w:tcMar>
          </w:tcPr>
          <w:p w14:paraId="1D54A59F" w14:textId="77777777" w:rsidR="006D6900" w:rsidRDefault="006D6900">
            <w:pPr>
              <w:pStyle w:val="UTWTabelleGrund"/>
              <w:spacing w:before="57"/>
              <w:rPr>
                <w:rStyle w:val="GrundbU"/>
                <w:spacing w:val="-3"/>
              </w:rPr>
            </w:pPr>
            <w:r>
              <w:rPr>
                <w:rStyle w:val="GrundbU"/>
                <w:spacing w:val="-3"/>
              </w:rPr>
              <w:t>Unkontrolliert herumfliegende Teile</w:t>
            </w:r>
          </w:p>
          <w:p w14:paraId="536280B4" w14:textId="77777777" w:rsidR="006D6900" w:rsidRDefault="006D6900">
            <w:pPr>
              <w:pStyle w:val="UTWTabelleGrund"/>
              <w:spacing w:before="57"/>
            </w:pPr>
            <w:r>
              <w:rPr>
                <w:spacing w:val="-3"/>
              </w:rPr>
              <w:t>Viele Winkelschleifer arbeiten mit 10.000 Umdrehungen und mehr in der Minute. Bricht die Scheibe während der Verwendung, fliegen Bruchstücke mit hoher Geschwindigkeit durch die Luft. Auch vom Werkstück können sich während der Bearbeitung Späne und Bruchstücke lösen und umherfliegen oder herabfallen.</w:t>
            </w:r>
          </w:p>
        </w:tc>
        <w:tc>
          <w:tcPr>
            <w:tcW w:w="8277" w:type="dxa"/>
            <w:tcBorders>
              <w:top w:val="single" w:sz="8" w:space="0" w:color="B2B2B2"/>
              <w:left w:val="single" w:sz="4" w:space="0" w:color="000000"/>
              <w:bottom w:val="single" w:sz="4" w:space="0" w:color="B2B2B2"/>
              <w:right w:val="single" w:sz="6" w:space="0" w:color="000000"/>
            </w:tcBorders>
            <w:tcMar>
              <w:top w:w="113" w:type="dxa"/>
              <w:left w:w="113" w:type="dxa"/>
              <w:bottom w:w="142" w:type="dxa"/>
              <w:right w:w="113" w:type="dxa"/>
            </w:tcMar>
          </w:tcPr>
          <w:p w14:paraId="04F05F39" w14:textId="77777777" w:rsidR="006D6900" w:rsidRDefault="006D6900" w:rsidP="006D6900">
            <w:pPr>
              <w:pStyle w:val="UTWTabelle"/>
              <w:numPr>
                <w:ilvl w:val="0"/>
                <w:numId w:val="5"/>
              </w:numPr>
              <w:spacing w:before="108"/>
              <w:jc w:val="left"/>
              <w:rPr>
                <w:spacing w:val="-4"/>
              </w:rPr>
            </w:pPr>
            <w:r>
              <w:rPr>
                <w:spacing w:val="-4"/>
              </w:rPr>
              <w:t>Verwenden Sie nur Scheiben, die für das zu bearbeitende Material und den gewählten Winkelschleifer (Durchmesser, Geschwindigkeit) zugelassen sind. Beachten Sie die Herstellerangaben.</w:t>
            </w:r>
          </w:p>
          <w:p w14:paraId="1481BB6B" w14:textId="77777777" w:rsidR="006D6900" w:rsidRDefault="006D6900" w:rsidP="006D6900">
            <w:pPr>
              <w:pStyle w:val="UTWTabelle"/>
              <w:numPr>
                <w:ilvl w:val="0"/>
                <w:numId w:val="5"/>
              </w:numPr>
              <w:spacing w:before="108"/>
              <w:jc w:val="left"/>
              <w:rPr>
                <w:spacing w:val="-4"/>
              </w:rPr>
            </w:pPr>
            <w:r>
              <w:rPr>
                <w:spacing w:val="-4"/>
              </w:rPr>
              <w:t>Trennscheiben dürfen in der Regel nicht zum Seitenschleifen verwendet werden (Bruchgefahr)! Beachten Sie die Herstellerangaben auf der Scheibe.</w:t>
            </w:r>
          </w:p>
          <w:p w14:paraId="4FFFA3B4" w14:textId="77777777" w:rsidR="006D6900" w:rsidRDefault="006D6900" w:rsidP="006D6900">
            <w:pPr>
              <w:pStyle w:val="UTWTabelle"/>
              <w:numPr>
                <w:ilvl w:val="0"/>
                <w:numId w:val="5"/>
              </w:numPr>
              <w:spacing w:before="108"/>
              <w:jc w:val="left"/>
              <w:rPr>
                <w:spacing w:val="-4"/>
              </w:rPr>
            </w:pPr>
            <w:r>
              <w:rPr>
                <w:spacing w:val="-4"/>
              </w:rPr>
              <w:t>Verwenden Sie nur Scheiben mit gültigem Haltbarkeitsdatum.</w:t>
            </w:r>
          </w:p>
          <w:p w14:paraId="1D381433" w14:textId="77777777" w:rsidR="006D6900" w:rsidRDefault="006D6900" w:rsidP="006D6900">
            <w:pPr>
              <w:pStyle w:val="UTWTabelle"/>
              <w:numPr>
                <w:ilvl w:val="0"/>
                <w:numId w:val="5"/>
              </w:numPr>
              <w:spacing w:before="108"/>
              <w:jc w:val="left"/>
              <w:rPr>
                <w:spacing w:val="-4"/>
              </w:rPr>
            </w:pPr>
            <w:r>
              <w:rPr>
                <w:spacing w:val="-4"/>
              </w:rPr>
              <w:t>Beachten Sie die höchstzulässige Arbeits-geschwindigkeit der Scheibe.</w:t>
            </w:r>
          </w:p>
          <w:p w14:paraId="0B6B99E9" w14:textId="77777777" w:rsidR="006D6900" w:rsidRDefault="006D6900" w:rsidP="006D6900">
            <w:pPr>
              <w:pStyle w:val="UTWTabelle"/>
              <w:numPr>
                <w:ilvl w:val="0"/>
                <w:numId w:val="5"/>
              </w:numPr>
              <w:spacing w:before="108"/>
              <w:jc w:val="left"/>
              <w:rPr>
                <w:spacing w:val="-4"/>
              </w:rPr>
            </w:pPr>
            <w:r>
              <w:rPr>
                <w:spacing w:val="-4"/>
              </w:rPr>
              <w:t>Führen Sie vor der Verwendung eine Sichtprüfung des Winkelschleifers und der Scheibe auf Beschädigungen und vollständige Schutzeinrichtungen durch. Verwenden Sie keine beschädigten oder unvollständigen Teile.</w:t>
            </w:r>
          </w:p>
          <w:p w14:paraId="39FC27A8" w14:textId="77777777" w:rsidR="006D6900" w:rsidRDefault="006D6900" w:rsidP="006D6900">
            <w:pPr>
              <w:pStyle w:val="UTWTabelle"/>
              <w:numPr>
                <w:ilvl w:val="0"/>
                <w:numId w:val="5"/>
              </w:numPr>
              <w:spacing w:before="108"/>
              <w:jc w:val="left"/>
              <w:rPr>
                <w:spacing w:val="-4"/>
              </w:rPr>
            </w:pPr>
            <w:r>
              <w:rPr>
                <w:spacing w:val="-4"/>
              </w:rPr>
              <w:t>Führen Sie nach dem Aufspannen der Scheibe einen Probelauf von mindestens 30 Sekunden durch.</w:t>
            </w:r>
          </w:p>
          <w:p w14:paraId="198A31B9" w14:textId="77777777" w:rsidR="006D6900" w:rsidRDefault="006D6900" w:rsidP="006D6900">
            <w:pPr>
              <w:pStyle w:val="UTWTabelle"/>
              <w:numPr>
                <w:ilvl w:val="0"/>
                <w:numId w:val="5"/>
              </w:numPr>
              <w:spacing w:before="108"/>
              <w:jc w:val="left"/>
            </w:pPr>
            <w:r>
              <w:rPr>
                <w:spacing w:val="-4"/>
              </w:rPr>
              <w:t>Tragen Sie eine geschlossene Schutzbrille, die für die zu erwartende mechanische Belastung geeignet ist, bzw. ggf. einen Gesichtsschutz.</w:t>
            </w:r>
          </w:p>
        </w:tc>
      </w:tr>
      <w:tr w:rsidR="006D6900" w14:paraId="3DF60A7E" w14:textId="77777777" w:rsidTr="006D6900">
        <w:tblPrEx>
          <w:tblCellMar>
            <w:top w:w="0" w:type="dxa"/>
            <w:left w:w="0" w:type="dxa"/>
            <w:bottom w:w="0" w:type="dxa"/>
            <w:right w:w="0" w:type="dxa"/>
          </w:tblCellMar>
        </w:tblPrEx>
        <w:trPr>
          <w:trHeight w:val="60"/>
        </w:trPr>
        <w:tc>
          <w:tcPr>
            <w:tcW w:w="2395" w:type="dxa"/>
            <w:tcBorders>
              <w:top w:val="single" w:sz="4" w:space="0" w:color="B2B2B2"/>
              <w:left w:val="single" w:sz="6" w:space="0" w:color="B2B2B2"/>
              <w:bottom w:val="single" w:sz="4" w:space="0" w:color="B2B2B2"/>
              <w:right w:val="single" w:sz="4" w:space="0" w:color="000000"/>
            </w:tcBorders>
            <w:shd w:val="clear" w:color="auto" w:fill="D9D9D9" w:themeFill="background1" w:themeFillShade="D9"/>
            <w:tcMar>
              <w:top w:w="113" w:type="dxa"/>
              <w:left w:w="113" w:type="dxa"/>
              <w:bottom w:w="142" w:type="dxa"/>
              <w:right w:w="113" w:type="dxa"/>
            </w:tcMar>
          </w:tcPr>
          <w:p w14:paraId="1DFB842F" w14:textId="77777777" w:rsidR="006D6900" w:rsidRDefault="006D6900">
            <w:pPr>
              <w:pStyle w:val="UTWTabelleGrund"/>
              <w:spacing w:before="57"/>
              <w:rPr>
                <w:spacing w:val="-3"/>
              </w:rPr>
            </w:pPr>
            <w:r>
              <w:rPr>
                <w:rStyle w:val="GrundbU"/>
                <w:spacing w:val="-3"/>
              </w:rPr>
              <w:t xml:space="preserve">Schnittgefahr </w:t>
            </w:r>
          </w:p>
          <w:p w14:paraId="550ACC8D" w14:textId="77777777" w:rsidR="006D6900" w:rsidRDefault="006D6900">
            <w:pPr>
              <w:pStyle w:val="UTWTabelleGrund"/>
              <w:spacing w:before="57"/>
            </w:pPr>
            <w:r>
              <w:rPr>
                <w:spacing w:val="-3"/>
              </w:rPr>
              <w:t>Schon ein kleiner Moment der Unachtsamkeit kann dazu führen, dass der Mitarbeiter mit dem Winkelschleifer abrutscht oder der Winkelschleifer verkantet und zurückschlägt. Die Folge sind schwere Schnittverletzungen, vor allem, wenn der Mitarbeiter das Werkstück mit Hand oder Fuß fixiert hat.</w:t>
            </w:r>
          </w:p>
        </w:tc>
        <w:tc>
          <w:tcPr>
            <w:tcW w:w="8277" w:type="dxa"/>
            <w:tcBorders>
              <w:top w:val="single" w:sz="4" w:space="0" w:color="B2B2B2"/>
              <w:left w:val="single" w:sz="4" w:space="0" w:color="000000"/>
              <w:bottom w:val="single" w:sz="4" w:space="0" w:color="B2B2B2"/>
              <w:right w:val="single" w:sz="6" w:space="0" w:color="000000"/>
            </w:tcBorders>
            <w:shd w:val="clear" w:color="auto" w:fill="D9D9D9" w:themeFill="background1" w:themeFillShade="D9"/>
            <w:tcMar>
              <w:top w:w="113" w:type="dxa"/>
              <w:left w:w="113" w:type="dxa"/>
              <w:bottom w:w="142" w:type="dxa"/>
              <w:right w:w="113" w:type="dxa"/>
            </w:tcMar>
          </w:tcPr>
          <w:p w14:paraId="1A561005" w14:textId="77777777" w:rsidR="006D6900" w:rsidRDefault="006D6900" w:rsidP="006D6900">
            <w:pPr>
              <w:pStyle w:val="UTWTabelle"/>
              <w:numPr>
                <w:ilvl w:val="0"/>
                <w:numId w:val="6"/>
              </w:numPr>
              <w:spacing w:before="108"/>
              <w:jc w:val="left"/>
              <w:rPr>
                <w:spacing w:val="-4"/>
              </w:rPr>
            </w:pPr>
            <w:r>
              <w:rPr>
                <w:spacing w:val="-4"/>
              </w:rPr>
              <w:t>Verwenden Sie den Winkelschleifer immer mit vollständiger Schutzausrüstung (Schutzhaube, Handgriff).</w:t>
            </w:r>
          </w:p>
          <w:p w14:paraId="72B15EA3" w14:textId="77777777" w:rsidR="006D6900" w:rsidRDefault="006D6900" w:rsidP="006D6900">
            <w:pPr>
              <w:pStyle w:val="UTWTabelle"/>
              <w:numPr>
                <w:ilvl w:val="0"/>
                <w:numId w:val="6"/>
              </w:numPr>
              <w:spacing w:before="108"/>
              <w:jc w:val="left"/>
              <w:rPr>
                <w:spacing w:val="-4"/>
              </w:rPr>
            </w:pPr>
            <w:r>
              <w:rPr>
                <w:spacing w:val="-4"/>
              </w:rPr>
              <w:t>Stellen Sie die Schutzhaube so ein, dass beide Hände geschützt sind. Sie muss mindestens 175° des Scheibenumfanges abdecken.</w:t>
            </w:r>
          </w:p>
          <w:p w14:paraId="198896B7" w14:textId="77777777" w:rsidR="006D6900" w:rsidRDefault="006D6900" w:rsidP="006D6900">
            <w:pPr>
              <w:pStyle w:val="UTWTabelle"/>
              <w:numPr>
                <w:ilvl w:val="0"/>
                <w:numId w:val="6"/>
              </w:numPr>
              <w:spacing w:before="108"/>
              <w:jc w:val="left"/>
              <w:rPr>
                <w:spacing w:val="-4"/>
              </w:rPr>
            </w:pPr>
            <w:r>
              <w:rPr>
                <w:spacing w:val="-4"/>
              </w:rPr>
              <w:t>Fixieren Sie Werkstücke, wie Rohre, Stahl- und Metallprofile, indem Sie sie gut einspannen. Halten Sie die Werkstücke auf keinen Fall mit Hand oder Fuß.</w:t>
            </w:r>
          </w:p>
          <w:p w14:paraId="280ABBEE" w14:textId="77777777" w:rsidR="006D6900" w:rsidRDefault="006D6900" w:rsidP="006D6900">
            <w:pPr>
              <w:pStyle w:val="UTWTabelle"/>
              <w:numPr>
                <w:ilvl w:val="0"/>
                <w:numId w:val="6"/>
              </w:numPr>
              <w:spacing w:before="108"/>
              <w:jc w:val="left"/>
              <w:rPr>
                <w:spacing w:val="-4"/>
              </w:rPr>
            </w:pPr>
            <w:r>
              <w:rPr>
                <w:spacing w:val="-4"/>
              </w:rPr>
              <w:t>Halten Sie den Winkelschleifer immer mit beiden Händen – es gibt keinen Einhandwinkelschleifer!</w:t>
            </w:r>
          </w:p>
          <w:p w14:paraId="3ED85DF2" w14:textId="77777777" w:rsidR="006D6900" w:rsidRDefault="006D6900" w:rsidP="006D6900">
            <w:pPr>
              <w:pStyle w:val="UTWTabelle"/>
              <w:numPr>
                <w:ilvl w:val="0"/>
                <w:numId w:val="6"/>
              </w:numPr>
              <w:spacing w:before="108"/>
              <w:jc w:val="left"/>
              <w:rPr>
                <w:spacing w:val="-4"/>
              </w:rPr>
            </w:pPr>
            <w:r>
              <w:rPr>
                <w:spacing w:val="-4"/>
              </w:rPr>
              <w:t>Trennen Sie den Winkelschleifer vor Reinigungsarbeiten sowie vor dem Wechsel der Scheibe vom -Stromnetz.</w:t>
            </w:r>
          </w:p>
          <w:p w14:paraId="0D98E781" w14:textId="77777777" w:rsidR="006D6900" w:rsidRDefault="006D6900" w:rsidP="006D6900">
            <w:pPr>
              <w:pStyle w:val="UTWTabelle"/>
              <w:numPr>
                <w:ilvl w:val="0"/>
                <w:numId w:val="6"/>
              </w:numPr>
              <w:spacing w:before="108"/>
              <w:jc w:val="left"/>
            </w:pPr>
            <w:r>
              <w:rPr>
                <w:spacing w:val="-4"/>
              </w:rPr>
              <w:t>Legen Sie den Winkelschleifer nach Beendigung der Arbeit sicher ab. Warten Sie ab, bis die Scheibe stillsteht.</w:t>
            </w:r>
          </w:p>
        </w:tc>
      </w:tr>
      <w:tr w:rsidR="006D6900" w14:paraId="14DF17E3" w14:textId="77777777" w:rsidTr="006D6900">
        <w:tblPrEx>
          <w:tblCellMar>
            <w:top w:w="0" w:type="dxa"/>
            <w:left w:w="0" w:type="dxa"/>
            <w:bottom w:w="0" w:type="dxa"/>
            <w:right w:w="0" w:type="dxa"/>
          </w:tblCellMar>
        </w:tblPrEx>
        <w:trPr>
          <w:trHeight w:val="4174"/>
        </w:trPr>
        <w:tc>
          <w:tcPr>
            <w:tcW w:w="2395" w:type="dxa"/>
            <w:tcBorders>
              <w:top w:val="single" w:sz="4" w:space="0" w:color="B2B2B2"/>
              <w:left w:val="single" w:sz="6" w:space="0" w:color="B2B2B2"/>
              <w:bottom w:val="single" w:sz="4" w:space="0" w:color="B2B2B2"/>
              <w:right w:val="single" w:sz="4" w:space="0" w:color="000000"/>
            </w:tcBorders>
            <w:tcMar>
              <w:top w:w="57" w:type="dxa"/>
              <w:left w:w="113" w:type="dxa"/>
              <w:bottom w:w="85" w:type="dxa"/>
              <w:right w:w="113" w:type="dxa"/>
            </w:tcMar>
          </w:tcPr>
          <w:p w14:paraId="22FD5A51" w14:textId="77777777" w:rsidR="006D6900" w:rsidRDefault="006D6900">
            <w:pPr>
              <w:pStyle w:val="UTWTabelleGrund"/>
              <w:spacing w:before="57"/>
              <w:rPr>
                <w:spacing w:val="-3"/>
              </w:rPr>
            </w:pPr>
            <w:r>
              <w:rPr>
                <w:rStyle w:val="GrundbU"/>
                <w:spacing w:val="-3"/>
              </w:rPr>
              <w:t>Brand und -Explosionsgefahr</w:t>
            </w:r>
          </w:p>
          <w:p w14:paraId="6C7EA765" w14:textId="77777777" w:rsidR="006D6900" w:rsidRDefault="006D6900">
            <w:pPr>
              <w:pStyle w:val="UTWTabelleGrund"/>
              <w:spacing w:before="57"/>
              <w:rPr>
                <w:spacing w:val="-3"/>
              </w:rPr>
            </w:pPr>
            <w:r>
              <w:rPr>
                <w:spacing w:val="-3"/>
              </w:rPr>
              <w:t>Bei der Metallbearbeitung entsteht aufgrund des Materialabtrags bei einer sehr hohen Umlaufgeschwindigkeit der Schleifscheibe ein starker Funkenflug. Dieser kann zu Verbrennungen, vor allem an den Händen, führen und einen Brand auslösen, wenn er in der Arbeitsumgebung auf brennbare Materialien trifft.</w:t>
            </w:r>
          </w:p>
          <w:p w14:paraId="51E8C2F4" w14:textId="77777777" w:rsidR="006D6900" w:rsidRDefault="006D6900">
            <w:pPr>
              <w:pStyle w:val="UTWTabelleGrund"/>
            </w:pPr>
            <w:r>
              <w:rPr>
                <w:spacing w:val="-3"/>
              </w:rPr>
              <w:t>Beim Schleifen von Leichtmetallen (z. B. Aluminium, Magnesium) besteht eine erhöhte Brand- und Explosionsgefahr!</w:t>
            </w:r>
          </w:p>
        </w:tc>
        <w:tc>
          <w:tcPr>
            <w:tcW w:w="8277" w:type="dxa"/>
            <w:tcBorders>
              <w:top w:val="single" w:sz="4" w:space="0" w:color="B2B2B2"/>
              <w:left w:val="single" w:sz="4" w:space="0" w:color="000000"/>
              <w:bottom w:val="single" w:sz="4" w:space="0" w:color="B2B2B2"/>
              <w:right w:val="single" w:sz="6" w:space="0" w:color="000000"/>
            </w:tcBorders>
            <w:tcMar>
              <w:top w:w="57" w:type="dxa"/>
              <w:left w:w="113" w:type="dxa"/>
              <w:bottom w:w="85" w:type="dxa"/>
              <w:right w:w="113" w:type="dxa"/>
            </w:tcMar>
          </w:tcPr>
          <w:p w14:paraId="698BEED1" w14:textId="77777777" w:rsidR="006D6900" w:rsidRDefault="006D6900" w:rsidP="006D6900">
            <w:pPr>
              <w:pStyle w:val="UTWTabelle"/>
              <w:numPr>
                <w:ilvl w:val="0"/>
                <w:numId w:val="7"/>
              </w:numPr>
              <w:spacing w:before="28"/>
              <w:jc w:val="left"/>
              <w:rPr>
                <w:spacing w:val="-4"/>
              </w:rPr>
            </w:pPr>
            <w:r>
              <w:rPr>
                <w:spacing w:val="-4"/>
              </w:rPr>
              <w:t>Holen Sie vor Beginn der Arbeiten eine Arbeitserlaubnis ein („Erlaubnis für feuergefährliche Arbeiten“ oder „Heißarbeitserlaubnis“).</w:t>
            </w:r>
          </w:p>
          <w:p w14:paraId="3855C282" w14:textId="77777777" w:rsidR="006D6900" w:rsidRDefault="006D6900" w:rsidP="006D6900">
            <w:pPr>
              <w:pStyle w:val="UTWTabelle"/>
              <w:numPr>
                <w:ilvl w:val="0"/>
                <w:numId w:val="7"/>
              </w:numPr>
              <w:spacing w:before="28"/>
              <w:jc w:val="left"/>
              <w:rPr>
                <w:spacing w:val="-4"/>
              </w:rPr>
            </w:pPr>
            <w:r>
              <w:rPr>
                <w:spacing w:val="-4"/>
              </w:rPr>
              <w:t>Achten Sie darauf, dass sich im Arbeitsbereich keine entzündbaren Stoffe wie Papier, Pappe oder ölgetränkte Lappen befinden. Entfernen Sie diese bzw. decken Sie entzündbare Stoffe mit schwer entflammbaren Materialien ab.</w:t>
            </w:r>
          </w:p>
          <w:p w14:paraId="4D13D55C" w14:textId="77777777" w:rsidR="006D6900" w:rsidRDefault="006D6900" w:rsidP="006D6900">
            <w:pPr>
              <w:pStyle w:val="UTWTabelle"/>
              <w:numPr>
                <w:ilvl w:val="0"/>
                <w:numId w:val="7"/>
              </w:numPr>
              <w:spacing w:before="28"/>
              <w:jc w:val="left"/>
              <w:rPr>
                <w:spacing w:val="-4"/>
              </w:rPr>
            </w:pPr>
            <w:r>
              <w:rPr>
                <w:spacing w:val="-4"/>
              </w:rPr>
              <w:t>Halten Sie Handfeuerlöscher bereit und organisieren Sie in besonders gefährdeten Bereichen ggf. eine Brandwache auch nach Abschluss der Arbeiten.</w:t>
            </w:r>
          </w:p>
          <w:p w14:paraId="0CED05FD" w14:textId="77777777" w:rsidR="006D6900" w:rsidRDefault="006D6900" w:rsidP="006D6900">
            <w:pPr>
              <w:pStyle w:val="UTWTabelleGrund"/>
              <w:numPr>
                <w:ilvl w:val="0"/>
                <w:numId w:val="7"/>
              </w:numPr>
              <w:rPr>
                <w:spacing w:val="-3"/>
              </w:rPr>
            </w:pPr>
            <w:r>
              <w:rPr>
                <w:spacing w:val="-3"/>
              </w:rPr>
              <w:t>Hinweis: Bedenken Sie, dass die Funken viele Meter weit fliegen und dort einige Zeit nachglühen können.</w:t>
            </w:r>
          </w:p>
          <w:p w14:paraId="7C0B6D09" w14:textId="77777777" w:rsidR="006D6900" w:rsidRDefault="006D6900" w:rsidP="006D6900">
            <w:pPr>
              <w:pStyle w:val="UTWTabelle"/>
              <w:numPr>
                <w:ilvl w:val="0"/>
                <w:numId w:val="7"/>
              </w:numPr>
              <w:spacing w:before="28"/>
              <w:jc w:val="left"/>
              <w:rPr>
                <w:spacing w:val="-4"/>
              </w:rPr>
            </w:pPr>
            <w:r>
              <w:rPr>
                <w:spacing w:val="-4"/>
              </w:rPr>
              <w:t>Richten Sie den Funkenstrahl nicht auf den Körper, sondern führen Sie ihn am Körper vorbei.</w:t>
            </w:r>
          </w:p>
          <w:p w14:paraId="5D62DFF7" w14:textId="77777777" w:rsidR="006D6900" w:rsidRDefault="006D6900" w:rsidP="006D6900">
            <w:pPr>
              <w:pStyle w:val="UTWTabelle"/>
              <w:numPr>
                <w:ilvl w:val="0"/>
                <w:numId w:val="7"/>
              </w:numPr>
              <w:spacing w:before="28"/>
              <w:jc w:val="left"/>
              <w:rPr>
                <w:spacing w:val="-4"/>
              </w:rPr>
            </w:pPr>
            <w:r>
              <w:rPr>
                <w:spacing w:val="-4"/>
              </w:rPr>
              <w:t>Tragen Sie eine Schutzbrille bzw. ggf. einen Gesichtsschutz und schwer entflammbare Baumwollkleidung oder eine Lederschürze. Tragen Sie ggf. Schutzhandschuhe aus Leder als Schutz gegen Verbrennungen.</w:t>
            </w:r>
          </w:p>
          <w:p w14:paraId="3536DD93" w14:textId="77777777" w:rsidR="006D6900" w:rsidRDefault="006D6900" w:rsidP="006D6900">
            <w:pPr>
              <w:pStyle w:val="UTWTabelle"/>
              <w:numPr>
                <w:ilvl w:val="0"/>
                <w:numId w:val="7"/>
              </w:numPr>
              <w:spacing w:before="28"/>
              <w:jc w:val="left"/>
            </w:pPr>
            <w:r>
              <w:rPr>
                <w:spacing w:val="-4"/>
              </w:rPr>
              <w:t>Verwenden Sie zum Absaugen von Schleifstäuben aus brennbarem Leichtmetall nur geeignete Absaugeinrichtungen (geeignet mindestens für Zone 22).</w:t>
            </w:r>
          </w:p>
        </w:tc>
      </w:tr>
      <w:tr w:rsidR="006D6900" w14:paraId="3D419053" w14:textId="77777777" w:rsidTr="006D6900">
        <w:tblPrEx>
          <w:tblCellMar>
            <w:top w:w="0" w:type="dxa"/>
            <w:left w:w="0" w:type="dxa"/>
            <w:bottom w:w="0" w:type="dxa"/>
            <w:right w:w="0" w:type="dxa"/>
          </w:tblCellMar>
        </w:tblPrEx>
        <w:trPr>
          <w:trHeight w:val="60"/>
        </w:trPr>
        <w:tc>
          <w:tcPr>
            <w:tcW w:w="2395" w:type="dxa"/>
            <w:tcBorders>
              <w:top w:val="single" w:sz="4" w:space="0" w:color="B2B2B2"/>
              <w:left w:val="single" w:sz="6" w:space="0" w:color="B2B2B2"/>
              <w:bottom w:val="single" w:sz="4" w:space="0" w:color="B2B2B2"/>
              <w:right w:val="single" w:sz="4" w:space="0" w:color="000000"/>
            </w:tcBorders>
            <w:shd w:val="clear" w:color="auto" w:fill="D9D9D9" w:themeFill="background1" w:themeFillShade="D9"/>
            <w:tcMar>
              <w:top w:w="57" w:type="dxa"/>
              <w:left w:w="113" w:type="dxa"/>
              <w:bottom w:w="85" w:type="dxa"/>
              <w:right w:w="113" w:type="dxa"/>
            </w:tcMar>
          </w:tcPr>
          <w:p w14:paraId="4DA41DE1" w14:textId="77777777" w:rsidR="006D6900" w:rsidRDefault="006D6900">
            <w:pPr>
              <w:pStyle w:val="UTWTabelleGrund"/>
              <w:spacing w:before="57"/>
              <w:rPr>
                <w:spacing w:val="-3"/>
              </w:rPr>
            </w:pPr>
            <w:r>
              <w:rPr>
                <w:rStyle w:val="GrundbU"/>
                <w:spacing w:val="-3"/>
              </w:rPr>
              <w:lastRenderedPageBreak/>
              <w:t>Gesundheitsgefahr durch Stäube</w:t>
            </w:r>
          </w:p>
          <w:p w14:paraId="2C1B2658" w14:textId="77777777" w:rsidR="006D6900" w:rsidRDefault="006D6900">
            <w:pPr>
              <w:pStyle w:val="UTWTabelleGrund"/>
              <w:spacing w:before="57"/>
            </w:pPr>
            <w:r>
              <w:rPr>
                <w:spacing w:val="-3"/>
              </w:rPr>
              <w:t>Beim Schleifen werden kleinste Partikel abgetragen. Die frei werdenden Stäube können die Lunge stark belasten.</w:t>
            </w:r>
          </w:p>
        </w:tc>
        <w:tc>
          <w:tcPr>
            <w:tcW w:w="8277" w:type="dxa"/>
            <w:tcBorders>
              <w:top w:val="single" w:sz="4" w:space="0" w:color="B2B2B2"/>
              <w:left w:val="single" w:sz="4" w:space="0" w:color="000000"/>
              <w:bottom w:val="single" w:sz="4" w:space="0" w:color="B2B2B2"/>
              <w:right w:val="single" w:sz="6" w:space="0" w:color="000000"/>
            </w:tcBorders>
            <w:shd w:val="clear" w:color="auto" w:fill="D9D9D9" w:themeFill="background1" w:themeFillShade="D9"/>
            <w:tcMar>
              <w:top w:w="57" w:type="dxa"/>
              <w:left w:w="113" w:type="dxa"/>
              <w:bottom w:w="85" w:type="dxa"/>
              <w:right w:w="113" w:type="dxa"/>
            </w:tcMar>
          </w:tcPr>
          <w:p w14:paraId="289ABD23" w14:textId="77777777" w:rsidR="006D6900" w:rsidRDefault="006D6900" w:rsidP="006D6900">
            <w:pPr>
              <w:pStyle w:val="UTWTabelle"/>
              <w:numPr>
                <w:ilvl w:val="0"/>
                <w:numId w:val="7"/>
              </w:numPr>
              <w:spacing w:before="28"/>
              <w:jc w:val="left"/>
              <w:rPr>
                <w:spacing w:val="-4"/>
              </w:rPr>
            </w:pPr>
            <w:r>
              <w:rPr>
                <w:spacing w:val="-4"/>
              </w:rPr>
              <w:t>Tragen Sie bei starker Staubentwicklung eine Atemschutzmaske mit Partikelfilter (FFP).</w:t>
            </w:r>
          </w:p>
          <w:p w14:paraId="53569FE9" w14:textId="77777777" w:rsidR="006D6900" w:rsidRDefault="006D6900" w:rsidP="006D6900">
            <w:pPr>
              <w:pStyle w:val="UTWTabelle"/>
              <w:numPr>
                <w:ilvl w:val="0"/>
                <w:numId w:val="7"/>
              </w:numPr>
              <w:spacing w:before="28"/>
              <w:jc w:val="left"/>
            </w:pPr>
            <w:r>
              <w:rPr>
                <w:spacing w:val="-4"/>
              </w:rPr>
              <w:t>Bei länger andauernden Arbeiten oder beim Bearbeiten von gesundheitsschädlichen Stoffen (z. B. bei der Bearbeitung von Beton, Naturstein oder beschichteten Flächen) müssen Sie eine geeignete Absaugung verwenden.</w:t>
            </w:r>
          </w:p>
        </w:tc>
      </w:tr>
      <w:tr w:rsidR="006D6900" w14:paraId="3AAEB8F3" w14:textId="77777777">
        <w:tblPrEx>
          <w:tblCellMar>
            <w:top w:w="0" w:type="dxa"/>
            <w:left w:w="0" w:type="dxa"/>
            <w:bottom w:w="0" w:type="dxa"/>
            <w:right w:w="0" w:type="dxa"/>
          </w:tblCellMar>
        </w:tblPrEx>
        <w:trPr>
          <w:trHeight w:val="60"/>
        </w:trPr>
        <w:tc>
          <w:tcPr>
            <w:tcW w:w="2395" w:type="dxa"/>
            <w:tcBorders>
              <w:top w:val="single" w:sz="4" w:space="0" w:color="B2B2B2"/>
              <w:left w:val="single" w:sz="6" w:space="0" w:color="B2B2B2"/>
              <w:bottom w:val="single" w:sz="4" w:space="0" w:color="B2B2B2"/>
              <w:right w:val="single" w:sz="4" w:space="0" w:color="000000"/>
            </w:tcBorders>
            <w:tcMar>
              <w:top w:w="57" w:type="dxa"/>
              <w:left w:w="113" w:type="dxa"/>
              <w:bottom w:w="85" w:type="dxa"/>
              <w:right w:w="113" w:type="dxa"/>
            </w:tcMar>
          </w:tcPr>
          <w:p w14:paraId="174AA276" w14:textId="77777777" w:rsidR="006D6900" w:rsidRDefault="006D6900">
            <w:pPr>
              <w:pStyle w:val="UTWTabelleGrund"/>
            </w:pPr>
            <w:r>
              <w:rPr>
                <w:rStyle w:val="GrundbU"/>
                <w:spacing w:val="-3"/>
              </w:rPr>
              <w:t>Gesundheitsgefahr durch Lärm</w:t>
            </w:r>
          </w:p>
        </w:tc>
        <w:tc>
          <w:tcPr>
            <w:tcW w:w="8277" w:type="dxa"/>
            <w:tcBorders>
              <w:top w:val="single" w:sz="4" w:space="0" w:color="B2B2B2"/>
              <w:left w:val="single" w:sz="4" w:space="0" w:color="000000"/>
              <w:bottom w:val="single" w:sz="4" w:space="0" w:color="B2B2B2"/>
              <w:right w:val="single" w:sz="6" w:space="0" w:color="000000"/>
            </w:tcBorders>
            <w:tcMar>
              <w:top w:w="57" w:type="dxa"/>
              <w:left w:w="113" w:type="dxa"/>
              <w:bottom w:w="85" w:type="dxa"/>
              <w:right w:w="113" w:type="dxa"/>
            </w:tcMar>
          </w:tcPr>
          <w:p w14:paraId="25474855" w14:textId="77777777" w:rsidR="006D6900" w:rsidRDefault="006D6900" w:rsidP="006D6900">
            <w:pPr>
              <w:pStyle w:val="UTWTabelle"/>
              <w:numPr>
                <w:ilvl w:val="0"/>
                <w:numId w:val="7"/>
              </w:numPr>
              <w:spacing w:before="28"/>
              <w:jc w:val="left"/>
            </w:pPr>
            <w:r>
              <w:rPr>
                <w:spacing w:val="-4"/>
              </w:rPr>
              <w:t>Tragen Sie Gehörschutz bei der Verwendung des Winkelschleifers.</w:t>
            </w:r>
          </w:p>
        </w:tc>
      </w:tr>
      <w:tr w:rsidR="006D6900" w14:paraId="4C594381" w14:textId="77777777" w:rsidTr="006D6900">
        <w:tblPrEx>
          <w:tblCellMar>
            <w:top w:w="0" w:type="dxa"/>
            <w:left w:w="0" w:type="dxa"/>
            <w:bottom w:w="0" w:type="dxa"/>
            <w:right w:w="0" w:type="dxa"/>
          </w:tblCellMar>
        </w:tblPrEx>
        <w:trPr>
          <w:trHeight w:val="60"/>
        </w:trPr>
        <w:tc>
          <w:tcPr>
            <w:tcW w:w="2395" w:type="dxa"/>
            <w:tcBorders>
              <w:top w:val="single" w:sz="4" w:space="0" w:color="B2B2B2"/>
              <w:left w:val="single" w:sz="6" w:space="0" w:color="B2B2B2"/>
              <w:bottom w:val="single" w:sz="4" w:space="0" w:color="B2B2B2"/>
              <w:right w:val="single" w:sz="4" w:space="0" w:color="000000"/>
            </w:tcBorders>
            <w:shd w:val="clear" w:color="auto" w:fill="D9D9D9" w:themeFill="background1" w:themeFillShade="D9"/>
            <w:tcMar>
              <w:top w:w="57" w:type="dxa"/>
              <w:left w:w="113" w:type="dxa"/>
              <w:bottom w:w="85" w:type="dxa"/>
              <w:right w:w="113" w:type="dxa"/>
            </w:tcMar>
          </w:tcPr>
          <w:p w14:paraId="5BFA1479" w14:textId="77777777" w:rsidR="006D6900" w:rsidRDefault="006D6900">
            <w:pPr>
              <w:pStyle w:val="UTWTabelleGrund"/>
            </w:pPr>
            <w:r>
              <w:rPr>
                <w:rStyle w:val="GrundbU"/>
                <w:spacing w:val="-3"/>
              </w:rPr>
              <w:t>Gesundheitsgefahr durch Vibrationen</w:t>
            </w:r>
            <w:r>
              <w:rPr>
                <w:rStyle w:val="GrundbU"/>
                <w:spacing w:val="-3"/>
              </w:rPr>
              <w:br/>
              <w:t>(Hand-Arm-Schwingungen)</w:t>
            </w:r>
          </w:p>
        </w:tc>
        <w:tc>
          <w:tcPr>
            <w:tcW w:w="8277" w:type="dxa"/>
            <w:tcBorders>
              <w:top w:val="single" w:sz="4" w:space="0" w:color="B2B2B2"/>
              <w:left w:val="single" w:sz="4" w:space="0" w:color="000000"/>
              <w:bottom w:val="single" w:sz="4" w:space="0" w:color="B2B2B2"/>
              <w:right w:val="single" w:sz="6" w:space="0" w:color="000000"/>
            </w:tcBorders>
            <w:shd w:val="clear" w:color="auto" w:fill="D9D9D9" w:themeFill="background1" w:themeFillShade="D9"/>
            <w:tcMar>
              <w:top w:w="57" w:type="dxa"/>
              <w:left w:w="113" w:type="dxa"/>
              <w:bottom w:w="85" w:type="dxa"/>
              <w:right w:w="113" w:type="dxa"/>
            </w:tcMar>
          </w:tcPr>
          <w:p w14:paraId="23F049C3" w14:textId="77777777" w:rsidR="006D6900" w:rsidRDefault="006D6900" w:rsidP="006D6900">
            <w:pPr>
              <w:pStyle w:val="UTWTabelle"/>
              <w:numPr>
                <w:ilvl w:val="0"/>
                <w:numId w:val="7"/>
              </w:numPr>
              <w:spacing w:before="28"/>
              <w:jc w:val="left"/>
              <w:rPr>
                <w:spacing w:val="-4"/>
              </w:rPr>
            </w:pPr>
            <w:r>
              <w:rPr>
                <w:spacing w:val="-4"/>
              </w:rPr>
              <w:t>Verwenden Sie für längere Arbeiten möglichst Winkelschleifer mit Autobalancer und Anti-Vibrationshandgriff.</w:t>
            </w:r>
          </w:p>
          <w:p w14:paraId="544A9594" w14:textId="77777777" w:rsidR="006D6900" w:rsidRDefault="006D6900" w:rsidP="006D6900">
            <w:pPr>
              <w:pStyle w:val="UTWTabelleGrund"/>
              <w:numPr>
                <w:ilvl w:val="0"/>
                <w:numId w:val="7"/>
              </w:numPr>
            </w:pPr>
            <w:r>
              <w:rPr>
                <w:spacing w:val="-3"/>
                <w:w w:val="99"/>
              </w:rPr>
              <w:t>Alternativ: Begrenzen Sie die Verwendungsdauer des Winkelschleifers und machen Sie regelmäßig eine Arbeitspause mit dem Gerät.</w:t>
            </w:r>
          </w:p>
        </w:tc>
      </w:tr>
    </w:tbl>
    <w:p w14:paraId="798613AB" w14:textId="77777777" w:rsidR="006D6900" w:rsidRPr="00AA6A7B" w:rsidRDefault="006D6900" w:rsidP="00AA6A7B">
      <w:pPr>
        <w:pStyle w:val="UTWGrund"/>
        <w:ind w:left="142"/>
        <w:jc w:val="left"/>
        <w:rPr>
          <w:rFonts w:ascii="Arial" w:hAnsi="Arial"/>
          <w:b/>
          <w:bCs/>
          <w:caps/>
          <w:color w:val="009FE4"/>
          <w:sz w:val="32"/>
          <w:szCs w:val="40"/>
          <w:lang w:bidi="de-DE"/>
        </w:rPr>
      </w:pPr>
    </w:p>
    <w:sectPr w:rsidR="006D6900" w:rsidRPr="00AA6A7B">
      <w:headerReference w:type="even" r:id="rId8"/>
      <w:headerReference w:type="default" r:id="rId9"/>
      <w:footerReference w:type="even" r:id="rId10"/>
      <w:footerReference w:type="default" r:id="rId11"/>
      <w:headerReference w:type="first" r:id="rId12"/>
      <w:footerReference w:type="first" r:id="rId13"/>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0FA9" w14:textId="77777777" w:rsidR="0016111D" w:rsidRDefault="0016111D" w:rsidP="0024604F">
      <w:r>
        <w:separator/>
      </w:r>
    </w:p>
  </w:endnote>
  <w:endnote w:type="continuationSeparator" w:id="0">
    <w:p w14:paraId="06B5A4D0" w14:textId="77777777" w:rsidR="0016111D" w:rsidRDefault="0016111D"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5020102010704020609"/>
    <w:charset w:val="02"/>
    <w:family w:val="auto"/>
    <w:pitch w:val="variable"/>
  </w:font>
  <w:font w:name="Calibri">
    <w:panose1 w:val="020F0502020204030204"/>
    <w:charset w:val="00"/>
    <w:family w:val="swiss"/>
    <w:pitch w:val="variable"/>
    <w:sig w:usb0="E4002EFF" w:usb1="C000247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5060202020A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939" w14:textId="77777777" w:rsidR="008E4191" w:rsidRDefault="008E41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075" w14:textId="77777777" w:rsidR="008E4191" w:rsidRDefault="008E41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E642" w14:textId="77777777" w:rsidR="0016111D" w:rsidRDefault="0016111D" w:rsidP="0024604F">
      <w:r>
        <w:separator/>
      </w:r>
    </w:p>
  </w:footnote>
  <w:footnote w:type="continuationSeparator" w:id="0">
    <w:p w14:paraId="1E479663" w14:textId="77777777" w:rsidR="0016111D" w:rsidRDefault="0016111D"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FAA" w14:textId="77777777" w:rsidR="008E4191" w:rsidRDefault="008E41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FFA6" w14:textId="77777777" w:rsidR="008E4191" w:rsidRDefault="008E41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BE3"/>
    <w:multiLevelType w:val="hybridMultilevel"/>
    <w:tmpl w:val="CAF6F0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2"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3"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4" w15:restartNumberingAfterBreak="0">
    <w:nsid w:val="558F13B2"/>
    <w:multiLevelType w:val="hybridMultilevel"/>
    <w:tmpl w:val="A91C4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96B2740"/>
    <w:multiLevelType w:val="hybridMultilevel"/>
    <w:tmpl w:val="DAA6B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6"/>
  </w:num>
  <w:num w:numId="2" w16cid:durableId="1485390650">
    <w:abstractNumId w:val="2"/>
  </w:num>
  <w:num w:numId="3" w16cid:durableId="396977468">
    <w:abstractNumId w:val="3"/>
  </w:num>
  <w:num w:numId="4" w16cid:durableId="1528369755">
    <w:abstractNumId w:val="1"/>
  </w:num>
  <w:num w:numId="5" w16cid:durableId="350492301">
    <w:abstractNumId w:val="5"/>
  </w:num>
  <w:num w:numId="6" w16cid:durableId="1203402208">
    <w:abstractNumId w:val="4"/>
  </w:num>
  <w:num w:numId="7" w16cid:durableId="193266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1217BB"/>
    <w:rsid w:val="0016111D"/>
    <w:rsid w:val="001815DA"/>
    <w:rsid w:val="001D31B5"/>
    <w:rsid w:val="001E6365"/>
    <w:rsid w:val="0024604F"/>
    <w:rsid w:val="00357E28"/>
    <w:rsid w:val="003860A5"/>
    <w:rsid w:val="003F737C"/>
    <w:rsid w:val="00433C88"/>
    <w:rsid w:val="004B27EB"/>
    <w:rsid w:val="006D6900"/>
    <w:rsid w:val="007B7114"/>
    <w:rsid w:val="007E1048"/>
    <w:rsid w:val="00821B51"/>
    <w:rsid w:val="008A13F6"/>
    <w:rsid w:val="008E4191"/>
    <w:rsid w:val="009E66C3"/>
    <w:rsid w:val="009F2539"/>
    <w:rsid w:val="00AA6A7B"/>
    <w:rsid w:val="00B94A7D"/>
    <w:rsid w:val="00BC66CB"/>
    <w:rsid w:val="00BD233E"/>
    <w:rsid w:val="00C377EB"/>
    <w:rsid w:val="00C53075"/>
    <w:rsid w:val="00CF3623"/>
    <w:rsid w:val="00D05E13"/>
    <w:rsid w:val="00D200D8"/>
    <w:rsid w:val="00D223E3"/>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paragraph" w:customStyle="1" w:styleId="UTWTabelleGrund">
    <w:name w:val="UTW_Tabelle Grund"/>
    <w:basedOn w:val="UTWGrund"/>
    <w:uiPriority w:val="99"/>
    <w:rsid w:val="006D6900"/>
    <w:pPr>
      <w:spacing w:before="28" w:line="200" w:lineRule="atLeast"/>
      <w:jc w:val="left"/>
    </w:pPr>
    <w:rPr>
      <w:rFonts w:ascii="Arial" w:hAnsi="Arial" w:cs="Arial"/>
      <w:sz w:val="16"/>
      <w:szCs w:val="16"/>
    </w:rPr>
  </w:style>
  <w:style w:type="paragraph" w:customStyle="1" w:styleId="UTWTabelle">
    <w:name w:val="UTW_Tabelle_•"/>
    <w:basedOn w:val="UTWGrund"/>
    <w:uiPriority w:val="99"/>
    <w:rsid w:val="006D6900"/>
    <w:pPr>
      <w:tabs>
        <w:tab w:val="left" w:pos="0"/>
      </w:tabs>
      <w:spacing w:before="85" w:line="220" w:lineRule="atLeast"/>
      <w:ind w:left="227" w:hanging="227"/>
    </w:pPr>
    <w:rPr>
      <w:rFonts w:ascii="Arial" w:hAnsi="Arial" w:cs="Arial"/>
      <w:sz w:val="18"/>
      <w:szCs w:val="18"/>
    </w:rPr>
  </w:style>
  <w:style w:type="character" w:customStyle="1" w:styleId="GrundbU">
    <w:name w:val="Grund b (U)"/>
    <w:uiPriority w:val="99"/>
    <w:rsid w:val="006D6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23</cp:revision>
  <dcterms:created xsi:type="dcterms:W3CDTF">2022-08-10T20:34:00Z</dcterms:created>
  <dcterms:modified xsi:type="dcterms:W3CDTF">2022-12-17T13:39:00Z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